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D10" w:rsidRPr="00A710E5" w:rsidRDefault="00C14D10" w:rsidP="00C14D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0E5">
        <w:rPr>
          <w:rFonts w:ascii="Times New Roman" w:hAnsi="Times New Roman" w:cs="Times New Roman"/>
          <w:b/>
          <w:sz w:val="28"/>
          <w:szCs w:val="28"/>
        </w:rPr>
        <w:t xml:space="preserve">Сравнительная таблица изменений, вносимых </w:t>
      </w:r>
    </w:p>
    <w:p w:rsidR="00D566DE" w:rsidRPr="00D91492" w:rsidRDefault="00C14D10" w:rsidP="00D914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710E5">
        <w:rPr>
          <w:rFonts w:ascii="Times New Roman" w:hAnsi="Times New Roman" w:cs="Times New Roman"/>
          <w:b/>
          <w:sz w:val="28"/>
          <w:szCs w:val="28"/>
        </w:rPr>
        <w:t xml:space="preserve">в Закон Республики Татарстан </w:t>
      </w:r>
      <w:r w:rsidR="00D91492" w:rsidRPr="00D91492">
        <w:rPr>
          <w:rFonts w:ascii="Times New Roman" w:hAnsi="Times New Roman" w:cs="Times New Roman"/>
          <w:b/>
          <w:sz w:val="28"/>
          <w:szCs w:val="28"/>
        </w:rPr>
        <w:t>«О местном самоуправлении в Республике Татарстан»</w:t>
      </w:r>
    </w:p>
    <w:p w:rsidR="00C14D10" w:rsidRDefault="00C14D10" w:rsidP="00C14D10">
      <w:pPr>
        <w:spacing w:after="0" w:line="240" w:lineRule="auto"/>
        <w:jc w:val="center"/>
        <w:rPr>
          <w:rFonts w:ascii="Times New Roman" w:hAnsi="Times New Roman"/>
          <w:sz w:val="30"/>
          <w:szCs w:val="30"/>
          <w:lang w:eastAsia="ru-RU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45"/>
        <w:gridCol w:w="6612"/>
        <w:gridCol w:w="3478"/>
        <w:gridCol w:w="4162"/>
      </w:tblGrid>
      <w:tr w:rsidR="00D91492" w:rsidRPr="007567FE" w:rsidTr="00D91492">
        <w:trPr>
          <w:trHeight w:val="237"/>
        </w:trPr>
        <w:tc>
          <w:tcPr>
            <w:tcW w:w="945" w:type="dxa"/>
          </w:tcPr>
          <w:p w:rsidR="00D91492" w:rsidRDefault="00D91492" w:rsidP="00B21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</w:tcPr>
          <w:p w:rsidR="00D91492" w:rsidRPr="00C14D10" w:rsidRDefault="00D91492" w:rsidP="00B21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</w:t>
            </w:r>
            <w:r w:rsidRPr="007567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ействующая редакция </w:t>
            </w:r>
            <w:r w:rsidRPr="00C14D10"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1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Республики Татарстан </w:t>
            </w:r>
          </w:p>
          <w:p w:rsidR="00D91492" w:rsidRPr="007567FE" w:rsidRDefault="00D91492" w:rsidP="00B21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914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«О местном самоуправлении в Республике Татарстан»</w:t>
            </w:r>
          </w:p>
        </w:tc>
        <w:tc>
          <w:tcPr>
            <w:tcW w:w="3478" w:type="dxa"/>
          </w:tcPr>
          <w:p w:rsidR="00D91492" w:rsidRPr="007567FE" w:rsidRDefault="00D91492" w:rsidP="00C14D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Pr="007567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редлагаемые изменения</w:t>
            </w:r>
          </w:p>
        </w:tc>
        <w:tc>
          <w:tcPr>
            <w:tcW w:w="4162" w:type="dxa"/>
          </w:tcPr>
          <w:p w:rsidR="00D91492" w:rsidRPr="00D91492" w:rsidRDefault="00D91492" w:rsidP="00D9149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7567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едакция </w:t>
            </w:r>
            <w:r w:rsidRPr="00C14D10">
              <w:rPr>
                <w:rFonts w:ascii="Times New Roman" w:hAnsi="Times New Roman" w:cs="Times New Roman"/>
                <w:b/>
                <w:sz w:val="24"/>
                <w:szCs w:val="24"/>
              </w:rPr>
              <w:t>Закон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14D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Республики Татарстан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91492">
              <w:rPr>
                <w:rFonts w:ascii="Times New Roman" w:hAnsi="Times New Roman" w:cs="Times New Roman"/>
                <w:b/>
                <w:sz w:val="24"/>
                <w:szCs w:val="24"/>
              </w:rPr>
              <w:t>«О местном самоуправлении в Республике Татарстан»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</w:t>
            </w:r>
            <w:r w:rsidRPr="00D9149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D91492" w:rsidRPr="007567FE" w:rsidRDefault="00D91492" w:rsidP="00B21A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67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учетом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предлагаемых</w:t>
            </w:r>
            <w:r w:rsidRPr="007567FE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изменений</w:t>
            </w:r>
          </w:p>
        </w:tc>
      </w:tr>
      <w:tr w:rsidR="00D91492" w:rsidRPr="00C14D10" w:rsidTr="00D91492">
        <w:trPr>
          <w:trHeight w:val="237"/>
        </w:trPr>
        <w:tc>
          <w:tcPr>
            <w:tcW w:w="945" w:type="dxa"/>
          </w:tcPr>
          <w:p w:rsidR="00D91492" w:rsidRPr="00D91492" w:rsidRDefault="00D9149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6612" w:type="dxa"/>
          </w:tcPr>
          <w:p w:rsidR="00D91492" w:rsidRPr="00A710E5" w:rsidRDefault="00D9149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D91492" w:rsidRDefault="00D91492" w:rsidP="00B2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14. Преобразование муниципальных образований</w:t>
            </w:r>
          </w:p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914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proofErr w:type="gramStart"/>
            <w:r w:rsidRPr="00D91492">
              <w:rPr>
                <w:rFonts w:ascii="Times New Roman" w:hAnsi="Times New Roman" w:cs="Times New Roman"/>
                <w:b/>
                <w:sz w:val="28"/>
                <w:szCs w:val="28"/>
              </w:rPr>
              <w:t>Преобразованием муниципальных образований является объединение муниципальных образований, разделение муниципальных образований, изменение статуса городского поселения в связи с наделением его статусом сельского поселения, изменение статуса сельского поселения в связи с наделением его статусом городского поселения, изменение статуса городского поселения в связи с наделением его статусом городского округа либо лишением его статуса городского округа, изменение статуса городского округа в связи с наделением</w:t>
            </w:r>
            <w:proofErr w:type="gramEnd"/>
            <w:r w:rsidRPr="00D9149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его статусом городского округа с внутригородским делением либо лишением его статуса городского округа с внутригородским делением, присоединение поселения к городскому округу с внутригородским делением и выделение внутригородского района из городского округа с </w:t>
            </w:r>
            <w:r w:rsidRPr="00D9149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внутригородским делением.</w:t>
            </w:r>
          </w:p>
          <w:p w:rsidR="00D91492" w:rsidRPr="00C14D10" w:rsidRDefault="00D91492" w:rsidP="00B21A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8" w:type="dxa"/>
          </w:tcPr>
          <w:p w:rsidR="00D91492" w:rsidRPr="00D91492" w:rsidRDefault="00D91492" w:rsidP="00D9149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часть 1 статьи 14 изложить в следующей редакции:</w:t>
            </w:r>
          </w:p>
          <w:p w:rsidR="00D91492" w:rsidRPr="00A710E5" w:rsidRDefault="00D91492" w:rsidP="00D91492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«1. </w:t>
            </w:r>
            <w:proofErr w:type="gramStart"/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>Преобразованием муниципальных образований является объединение муниципальных образований, разделение муниципальных образований, изменение статуса городского поселения в связи с наделением его статусом сельского поселения, изменение статуса сельского поселения в связи с наделением его статусом городск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 поселения, изменение статуса городского поселения в связи с 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наделением его статусом городского округа либо лишением его статуса городского округа, изменение статуса муниципального округа в связи с наделением</w:t>
            </w:r>
            <w:proofErr w:type="gramEnd"/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его статусом городского округа, изменение статуса городского округа в связи с наделением его статусом м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>ниципального округа или статусом городского округа с внутригородским делением либо лишением его статуса городского округа с внутригородским делением,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</w:t>
            </w:r>
            <w:proofErr w:type="gramStart"/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4162" w:type="dxa"/>
          </w:tcPr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Статья 14. Преобразование муниципальных образований</w:t>
            </w:r>
          </w:p>
          <w:p w:rsidR="00D91492" w:rsidRP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1. </w:t>
            </w:r>
            <w:proofErr w:type="gramStart"/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Преобразованием муниципальных образований является объединение муниципальных образований, разделение муниципальных образований, изменение статуса городского поселения в связи с наделением его статусом сельского поселения, изменение статуса сельского поселения в связи с наделением его статусом городск</w:t>
            </w:r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о</w:t>
            </w:r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го поселения, изменение статуса городского поселения в связи с наделением его статусом городского округа либо лишением его статуса городского округа, изменение статуса муниципального </w:t>
            </w:r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lastRenderedPageBreak/>
              <w:t>округа в связи с наделением</w:t>
            </w:r>
            <w:proofErr w:type="gramEnd"/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 xml:space="preserve"> его статусом городского округа, изменение статуса городского округа в связи с наделением его статусом м</w:t>
            </w:r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у</w:t>
            </w:r>
            <w:r w:rsidRPr="00D9149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ниципального округа или статусом городского округа с внутригородским делением либо лишением его статуса городского округа с внутригородским делением, присоединение поселения к городскому округу с внутригородским делением и выделение внутригородского района из городского округа с внутригородским делением.</w:t>
            </w:r>
          </w:p>
        </w:tc>
      </w:tr>
      <w:tr w:rsidR="00D91492" w:rsidRPr="00C14D10" w:rsidTr="00D91492">
        <w:trPr>
          <w:trHeight w:val="237"/>
        </w:trPr>
        <w:tc>
          <w:tcPr>
            <w:tcW w:w="945" w:type="dxa"/>
          </w:tcPr>
          <w:p w:rsidR="00D91492" w:rsidRDefault="00D9149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2</w:t>
            </w:r>
          </w:p>
        </w:tc>
        <w:tc>
          <w:tcPr>
            <w:tcW w:w="6612" w:type="dxa"/>
          </w:tcPr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15. Вопросы местного значения городского, сельского поселения</w:t>
            </w:r>
          </w:p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20) утверждение генеральных планов поселения, правил землепользования и застройки, утверждение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подготовленной на основе генеральных планов поселения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7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изъятие земельных участков в границах поселения для муниципальных нужд, осуществление муниципального земельного контроля в границах поселения, осуществление в случаях, предусмотренных Градостроительным </w:t>
            </w:r>
            <w:hyperlink r:id="rId8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 - уведомление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участке, уведомления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приведения в соответствие с установленными требованиями в случаях, предусмотренных Градостроительным </w:t>
            </w:r>
            <w:hyperlink r:id="rId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Федерации;</w:t>
            </w:r>
          </w:p>
          <w:p w:rsidR="00D91492" w:rsidRPr="00A710E5" w:rsidRDefault="00D9149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D91492" w:rsidRPr="00D91492" w:rsidRDefault="00D91492" w:rsidP="00D9149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статье 15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 xml:space="preserve">пункт 20 части 1 после слов «территории, выдача» </w:t>
            </w:r>
            <w:r w:rsidRPr="00D9149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дополнить словами «градостроительного  плана земельного участка, расположенного в границах поселения, выдача»</w:t>
            </w:r>
          </w:p>
        </w:tc>
        <w:tc>
          <w:tcPr>
            <w:tcW w:w="4162" w:type="dxa"/>
          </w:tcPr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20) утверждение генеральных планов поселения, правил землепользования и застройки, утверждение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подготовленной на основе генеральных планов поселения документации по планировке территории, выдача </w:t>
            </w:r>
            <w:r w:rsidR="000D6752" w:rsidRPr="000D675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градостроительного  плана земельного участка, расположенного в границах поселения, выдача</w:t>
            </w:r>
            <w:r w:rsidR="000D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разрешений на строительство (за исключением случаев, предусмотренных Градостроительным </w:t>
            </w:r>
            <w:hyperlink r:id="rId10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поселения, 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земельного контроля в границах поселения, осуществление в случаях, предусмотренных Градостроительным </w:t>
            </w:r>
            <w:hyperlink r:id="rId11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объекта индивидуального жилищного строительства или садового дома (далее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жилищного строительства или садового дома на 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самовольной постройки, решения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Градостроительным </w:t>
            </w:r>
            <w:hyperlink r:id="rId12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Федерации;</w:t>
            </w:r>
          </w:p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6752" w:rsidRPr="00C14D10" w:rsidTr="00D91492">
        <w:trPr>
          <w:trHeight w:val="237"/>
        </w:trPr>
        <w:tc>
          <w:tcPr>
            <w:tcW w:w="945" w:type="dxa"/>
          </w:tcPr>
          <w:p w:rsidR="000D6752" w:rsidRDefault="000D675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6612" w:type="dxa"/>
          </w:tcPr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15. Вопросы местного значения городского, сельского поселения</w:t>
            </w:r>
          </w:p>
          <w:p w:rsidR="000D6752" w:rsidRDefault="000D675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0D6752" w:rsidRPr="000D6752" w:rsidRDefault="000D6752" w:rsidP="000D675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часть 3 </w:t>
            </w:r>
            <w:r w:rsidRPr="000D6752">
              <w:rPr>
                <w:rFonts w:ascii="Times New Roman" w:hAnsi="Times New Roman" w:cs="Times New Roman"/>
                <w:sz w:val="28"/>
                <w:szCs w:val="28"/>
              </w:rPr>
              <w:t xml:space="preserve">статьи 15 </w:t>
            </w: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>дополнить пунктом 20 следующего содержания:</w:t>
            </w:r>
          </w:p>
          <w:p w:rsidR="000D6752" w:rsidRDefault="000D6752" w:rsidP="000D675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«20)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</w:t>
            </w: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</w:t>
            </w: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>тановленными федеральными законами.»</w:t>
            </w:r>
          </w:p>
        </w:tc>
        <w:tc>
          <w:tcPr>
            <w:tcW w:w="4162" w:type="dxa"/>
          </w:tcPr>
          <w:p w:rsidR="000D6752" w:rsidRDefault="000D675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15. Вопросы местного значения городского, сельского поселения</w:t>
            </w:r>
          </w:p>
          <w:p w:rsidR="000D6752" w:rsidRPr="000D6752" w:rsidRDefault="000D675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0D675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20)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 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</w:t>
            </w:r>
            <w:r w:rsidRPr="000D675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с</w:t>
            </w:r>
            <w:r w:rsidRPr="000D675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тановленными федеральными законами.</w:t>
            </w:r>
            <w:proofErr w:type="gramEnd"/>
          </w:p>
        </w:tc>
      </w:tr>
      <w:tr w:rsidR="000D6752" w:rsidRPr="00C14D10" w:rsidTr="00D91492">
        <w:trPr>
          <w:trHeight w:val="237"/>
        </w:trPr>
        <w:tc>
          <w:tcPr>
            <w:tcW w:w="945" w:type="dxa"/>
          </w:tcPr>
          <w:p w:rsidR="000D6752" w:rsidRPr="000D6752" w:rsidRDefault="000D675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4</w:t>
            </w:r>
          </w:p>
        </w:tc>
        <w:tc>
          <w:tcPr>
            <w:tcW w:w="6612" w:type="dxa"/>
          </w:tcPr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17. Вопросы местного значения городского округа</w:t>
            </w:r>
          </w:p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 вопросам местного значения городского округа относятся:</w:t>
            </w:r>
          </w:p>
          <w:p w:rsidR="000D6752" w:rsidRP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26) 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 разрешений на строительство (за исключением случаев, предусмотренных Градостроительным </w:t>
            </w:r>
            <w:hyperlink r:id="rId13" w:history="1">
              <w:r w:rsidRPr="000D6752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кодексом</w:t>
              </w:r>
            </w:hyperlink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капитального строительства, расположенных на территории городского округа, утверждение местных нормативов градостроительного проектирования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городского округа, ведение информационной системы обеспечения градостроительной деятельности, осуществляемой на территории городского округа, резервирование земель и изъятие земельных участков в границах городского округа для муниципальных нужд, осуществление муниципального земельного контроля в границах городского округа, осуществление в случаях, предусмотренных Градостроительным </w:t>
            </w:r>
            <w:hyperlink r:id="rId14" w:history="1">
              <w:r w:rsidRPr="000D6752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кодексом</w:t>
              </w:r>
            </w:hyperlink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садового дома на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>земельном 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городских округов,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ее приведения в соответствие с установленными требованиями в случаях, предусмотренных Градостроительным </w:t>
            </w:r>
            <w:hyperlink r:id="rId15" w:history="1">
              <w:r w:rsidRPr="000D6752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кодексом</w:t>
              </w:r>
            </w:hyperlink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Федерации;</w:t>
            </w:r>
            <w:proofErr w:type="gramEnd"/>
          </w:p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0D6752" w:rsidRPr="000D6752" w:rsidRDefault="000D6752" w:rsidP="000D675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части 1 статьи 17</w:t>
            </w: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пункт 26 после слов «территории, выдача» дополнить словами «градостроительного плана земельного участка, расположенного в границах городского округа, выдача»</w:t>
            </w:r>
          </w:p>
        </w:tc>
        <w:tc>
          <w:tcPr>
            <w:tcW w:w="4162" w:type="dxa"/>
          </w:tcPr>
          <w:p w:rsidR="000D6752" w:rsidRP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>26) утверждение генеральных планов городского округа, правил землепользования и застройки, утверждение подготовленной на основе генеральных планов городского округа документации по планировке территории, выдача</w:t>
            </w:r>
            <w:r w:rsidRPr="000D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675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градостроительного плана земельного участка, расположенного в границах городского округа, выдача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разрешений на строительство (за исключением случаев, предусмотренных 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Градостроительным </w:t>
            </w:r>
            <w:hyperlink r:id="rId16" w:history="1">
              <w:r w:rsidRPr="000D6752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кодексом</w:t>
              </w:r>
            </w:hyperlink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расположенных на территории городского округа, утверждение местных нормативов градостроительного проектирования городского округа, ведение информационной системы обеспечения градостроительной деятельности, осуществляемой на территории городского округа, резервирование земель и изъятие земельных участков в границах городского округа для муниципальных нужд, осуществление муниципального земельного контроля в границах городского округа, осуществление в случаях, предусмотренных Градостроительным </w:t>
            </w:r>
            <w:hyperlink r:id="rId17" w:history="1">
              <w:r w:rsidRPr="000D6752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кодексом</w:t>
              </w:r>
            </w:hyperlink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Федерации, 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осмотров зданий, сооружений и выдача рекомендаций об устранении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>выявленных в ходе таких осмотров нарушений,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)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недопустимости размещения объекта индивидуального жилищного строительства или садового дома на земельном участке, уведомления о 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городских округов, принятие в соответствии с гражданским законодательством Российской Федерации решения</w:t>
            </w:r>
            <w:proofErr w:type="gramEnd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gramStart"/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сносе самовольной постройки, решения о сносе самовольной постройки или ее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</w:t>
            </w:r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самовольной постройки или ее приведения в соответствие с установленными требованиями в случаях, предусмотренных Градостроительным </w:t>
            </w:r>
            <w:hyperlink r:id="rId18" w:history="1">
              <w:r w:rsidRPr="000D6752">
                <w:rPr>
                  <w:rFonts w:ascii="Times New Roman" w:hAnsi="Times New Roman" w:cs="Times New Roman"/>
                  <w:bCs/>
                  <w:color w:val="0000FF"/>
                  <w:sz w:val="28"/>
                  <w:szCs w:val="28"/>
                </w:rPr>
                <w:t>кодексом</w:t>
              </w:r>
            </w:hyperlink>
            <w:r w:rsidRPr="000D675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Российской Федерации;</w:t>
            </w:r>
            <w:proofErr w:type="gramEnd"/>
          </w:p>
          <w:p w:rsidR="000D6752" w:rsidRDefault="000D675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D6752" w:rsidRPr="00C14D10" w:rsidTr="00D91492">
        <w:trPr>
          <w:trHeight w:val="237"/>
        </w:trPr>
        <w:tc>
          <w:tcPr>
            <w:tcW w:w="945" w:type="dxa"/>
          </w:tcPr>
          <w:p w:rsidR="000D6752" w:rsidRDefault="000D675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5</w:t>
            </w:r>
          </w:p>
        </w:tc>
        <w:tc>
          <w:tcPr>
            <w:tcW w:w="6612" w:type="dxa"/>
          </w:tcPr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17. Вопросы местного значения городского округа</w:t>
            </w:r>
          </w:p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6752" w:rsidRDefault="000D675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 вопросам местного значения городского округа относятся:</w:t>
            </w:r>
          </w:p>
          <w:p w:rsidR="00203B02" w:rsidRP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33) создание условий для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(волонтерству);</w:t>
            </w:r>
          </w:p>
          <w:p w:rsidR="000D6752" w:rsidRDefault="000D675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0D6752" w:rsidRPr="000D6752" w:rsidRDefault="000D6752" w:rsidP="000D675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>в части 1 статьи 17</w:t>
            </w:r>
            <w:r w:rsidRPr="000D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пункт 33 после слов «условий </w:t>
            </w:r>
            <w:proofErr w:type="gramStart"/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>для</w:t>
            </w:r>
            <w:proofErr w:type="gramEnd"/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дополнить </w:t>
            </w:r>
            <w:proofErr w:type="gramStart"/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>словами</w:t>
            </w:r>
            <w:proofErr w:type="gramEnd"/>
            <w:r w:rsidRPr="000D675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«развития сельскохозяйственного производства,»</w:t>
            </w:r>
          </w:p>
        </w:tc>
        <w:tc>
          <w:tcPr>
            <w:tcW w:w="4162" w:type="dxa"/>
          </w:tcPr>
          <w:p w:rsidR="00203B02" w:rsidRP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33) создание условий для</w:t>
            </w:r>
            <w:r w:rsidRPr="000D67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B02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развития сельскохозяйственного производства,</w:t>
            </w: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расширения рынка сельскохозяйственной продукции, сырья и продовольствия, содействие 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и добровольчеству (волонтерству);</w:t>
            </w:r>
          </w:p>
          <w:p w:rsidR="000D6752" w:rsidRPr="000D6752" w:rsidRDefault="000D675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3B02" w:rsidRPr="00C14D10" w:rsidTr="00D91492">
        <w:trPr>
          <w:trHeight w:val="237"/>
        </w:trPr>
        <w:tc>
          <w:tcPr>
            <w:tcW w:w="945" w:type="dxa"/>
          </w:tcPr>
          <w:p w:rsidR="00203B02" w:rsidRDefault="00203B0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6612" w:type="dxa"/>
          </w:tcPr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17. Вопросы местного значения городского округа</w:t>
            </w: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 вопросам местного значения городского округа относятся:</w:t>
            </w: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43) организация в соответствии с Федеральным </w:t>
            </w:r>
            <w:hyperlink r:id="rId19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24 июля 2007 года N 221-ФЗ "О государственном кадастре недвижимости" выполнения комплексных кадастровых работ и утверждение карты-плана территории.</w:t>
            </w:r>
          </w:p>
          <w:p w:rsidR="00203B02" w:rsidRDefault="00203B02" w:rsidP="000D675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203B02" w:rsidRPr="00203B02" w:rsidRDefault="00203B02" w:rsidP="000D675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 части 1 статьи 17</w:t>
            </w:r>
            <w:r w:rsidRPr="00203B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пункте 43 слова «государственном кадастре недвижимости» заменить словами </w:t>
            </w:r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«к</w:t>
            </w:r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>дастровой деятельности»</w:t>
            </w:r>
          </w:p>
        </w:tc>
        <w:tc>
          <w:tcPr>
            <w:tcW w:w="4162" w:type="dxa"/>
          </w:tcPr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 К вопросам местного значения городского округа относятся:</w:t>
            </w: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43) организация в соответствии с Федеральным </w:t>
            </w:r>
            <w:hyperlink r:id="rId20" w:history="1">
              <w:r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законом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24 июля 2007 года N 221-ФЗ "О </w:t>
            </w:r>
            <w:r w:rsidRPr="00203B02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кадастровой деятелоьности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" выполнения комплексных кадастровых работ и утверждение карты-плана территории.</w:t>
            </w:r>
          </w:p>
          <w:p w:rsidR="00203B02" w:rsidRP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03B02" w:rsidRPr="00C14D10" w:rsidTr="00D91492">
        <w:trPr>
          <w:trHeight w:val="237"/>
        </w:trPr>
        <w:tc>
          <w:tcPr>
            <w:tcW w:w="945" w:type="dxa"/>
          </w:tcPr>
          <w:p w:rsidR="00203B02" w:rsidRDefault="00203B0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7</w:t>
            </w:r>
          </w:p>
        </w:tc>
        <w:tc>
          <w:tcPr>
            <w:tcW w:w="6612" w:type="dxa"/>
          </w:tcPr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17.1. Права органов местного самоуправления городского округа на решение вопросов, не отнесенных к вопросам местного значения городского округа</w:t>
            </w: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03B02" w:rsidRP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Органы местного самоуправления городского округа имеют право </w:t>
            </w:r>
            <w:proofErr w:type="gramStart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203B02" w:rsidRPr="00203B02" w:rsidRDefault="004F7B5A" w:rsidP="00203B0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часть</w:t>
            </w:r>
            <w:r w:rsidR="00203B02"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 статьи 17</w:t>
            </w:r>
            <w:r w:rsidR="00203B02" w:rsidRPr="00203B02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r w:rsidR="00203B02"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ab/>
              <w:t>дополнить пунктом 19 следующего содержания:</w:t>
            </w:r>
          </w:p>
          <w:p w:rsidR="00203B02" w:rsidRPr="00203B02" w:rsidRDefault="00203B02" w:rsidP="00203B0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>«19) совершение нотариальных действий, предусмотренных законодательством, в случае отсутствия во входящем в состав территории городского округа и не являющемся его административным центром населенном пункте нотариуса</w:t>
            </w:r>
            <w:proofErr w:type="gramStart"/>
            <w:r w:rsidRPr="00203B02">
              <w:rPr>
                <w:rFonts w:ascii="Times New Roman" w:eastAsia="Calibri" w:hAnsi="Times New Roman" w:cs="Times New Roman"/>
                <w:sz w:val="28"/>
                <w:szCs w:val="28"/>
              </w:rPr>
              <w:t>;»</w:t>
            </w:r>
            <w:proofErr w:type="gramEnd"/>
          </w:p>
        </w:tc>
        <w:tc>
          <w:tcPr>
            <w:tcW w:w="4162" w:type="dxa"/>
          </w:tcPr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Статья 17.1. Права органов местного самоуправления городского округа на решение вопросов, не отнесенных к вопросам местного значения городского округа</w:t>
            </w: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03B02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Органы местного самоуправления городского округа имеют право </w:t>
            </w:r>
            <w:proofErr w:type="gramStart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203B02" w:rsidRPr="009A7F21" w:rsidRDefault="00203B02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9A7F21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19) совершение нотариальных действий, предусмотренных законодательством, в случае отсутствия во входящем в состав территории городского округа и не являющемся его административным центром населенном пункте нотариуса;</w:t>
            </w:r>
          </w:p>
        </w:tc>
      </w:tr>
      <w:tr w:rsidR="004F7B5A" w:rsidRPr="00C14D10" w:rsidTr="00D91492">
        <w:trPr>
          <w:trHeight w:val="237"/>
        </w:trPr>
        <w:tc>
          <w:tcPr>
            <w:tcW w:w="945" w:type="dxa"/>
          </w:tcPr>
          <w:p w:rsidR="004F7B5A" w:rsidRDefault="004F7B5A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6612" w:type="dxa"/>
          </w:tcPr>
          <w:p w:rsidR="009A7F21" w:rsidRDefault="009A7F21" w:rsidP="009A7F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Статья 17.1. Права органов местного самоуправления городского округа на решение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вопросов, не отнесенных к вопросам местного значения городского округа</w:t>
            </w:r>
          </w:p>
          <w:p w:rsidR="009A7F21" w:rsidRDefault="009A7F21" w:rsidP="009A7F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A7F21" w:rsidRPr="00203B02" w:rsidRDefault="009A7F21" w:rsidP="009A7F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Органы местного самоуправления городского округа имеют право </w:t>
            </w:r>
            <w:proofErr w:type="gramStart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4F7B5A" w:rsidRDefault="004F7B5A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9A7F21" w:rsidRPr="009A7F21" w:rsidRDefault="009A7F21" w:rsidP="009A7F21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9A7F21">
              <w:rPr>
                <w:rFonts w:ascii="Times New Roman" w:hAnsi="Times New Roman" w:cs="Times New Roman"/>
                <w:sz w:val="28"/>
                <w:szCs w:val="28"/>
              </w:rPr>
              <w:t xml:space="preserve">Часть </w:t>
            </w:r>
            <w:r w:rsidRPr="009A7F21">
              <w:rPr>
                <w:rFonts w:ascii="Times New Roman" w:eastAsia="Calibri" w:hAnsi="Times New Roman" w:cs="Times New Roman"/>
                <w:sz w:val="28"/>
                <w:szCs w:val="28"/>
              </w:rPr>
              <w:t>1 статьи 17</w:t>
            </w:r>
            <w:r w:rsidRPr="009A7F21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t>1</w:t>
            </w:r>
            <w:r w:rsidRPr="009A7F2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A7F21">
              <w:rPr>
                <w:rFonts w:ascii="Times New Roman" w:hAnsi="Times New Roman" w:cs="Times New Roman"/>
                <w:sz w:val="28"/>
                <w:szCs w:val="28"/>
              </w:rPr>
              <w:t xml:space="preserve">дополнить пунктом 20 </w:t>
            </w:r>
            <w:r w:rsidRPr="009A7F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следующего содержания:</w:t>
            </w:r>
          </w:p>
          <w:p w:rsidR="004F7B5A" w:rsidRPr="00203B02" w:rsidRDefault="009A7F21" w:rsidP="009A7F21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7F21">
              <w:rPr>
                <w:rFonts w:ascii="Times New Roman" w:hAnsi="Times New Roman" w:cs="Times New Roman"/>
                <w:sz w:val="28"/>
                <w:szCs w:val="28"/>
              </w:rPr>
              <w:t>«20)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Татарстан</w:t>
            </w:r>
            <w:proofErr w:type="gramStart"/>
            <w:r w:rsidRPr="009A7F21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4162" w:type="dxa"/>
          </w:tcPr>
          <w:p w:rsidR="009A7F21" w:rsidRDefault="009A7F21" w:rsidP="009A7F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Статья 17.1. Права органов местного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самоуправления городского округа на решение вопросов, не отнесенных к вопросам местного значения городского округа</w:t>
            </w:r>
          </w:p>
          <w:p w:rsidR="009A7F21" w:rsidRDefault="009A7F21" w:rsidP="009A7F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9A7F21" w:rsidRPr="00203B02" w:rsidRDefault="009A7F21" w:rsidP="009A7F2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 Органы местного самоуправления городского округа имеют право </w:t>
            </w:r>
            <w:proofErr w:type="gramStart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на</w:t>
            </w:r>
            <w:proofErr w:type="gramEnd"/>
            <w:r w:rsidRPr="00203B02">
              <w:rPr>
                <w:rFonts w:ascii="Times New Roman" w:hAnsi="Times New Roman" w:cs="Times New Roman"/>
                <w:bCs/>
                <w:sz w:val="28"/>
                <w:szCs w:val="28"/>
              </w:rPr>
              <w:t>:</w:t>
            </w:r>
          </w:p>
          <w:p w:rsidR="004F7B5A" w:rsidRPr="009A7F21" w:rsidRDefault="009A7F21" w:rsidP="00203B0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9A7F21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20) оказание содействия в осуществлении нотариусом приема населения в соответствии с графиком приема населения, утвержденным Нотариальной палатой Республики Татарстан.</w:t>
            </w:r>
          </w:p>
        </w:tc>
      </w:tr>
      <w:tr w:rsidR="00D91492" w:rsidRPr="00C14D10" w:rsidTr="00D91492">
        <w:trPr>
          <w:trHeight w:val="237"/>
        </w:trPr>
        <w:tc>
          <w:tcPr>
            <w:tcW w:w="945" w:type="dxa"/>
          </w:tcPr>
          <w:p w:rsidR="00D91492" w:rsidRPr="00A710E5" w:rsidRDefault="00D9149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612" w:type="dxa"/>
          </w:tcPr>
          <w:p w:rsidR="00D91492" w:rsidRPr="00A710E5" w:rsidRDefault="00D91492" w:rsidP="00A710E5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478" w:type="dxa"/>
          </w:tcPr>
          <w:p w:rsidR="00D91492" w:rsidRPr="00D91492" w:rsidRDefault="00D91492" w:rsidP="00D91492">
            <w:pPr>
              <w:tabs>
                <w:tab w:val="left" w:pos="993"/>
              </w:tabs>
              <w:suppressAutoHyphens/>
              <w:autoSpaceDE w:val="0"/>
              <w:autoSpaceDN w:val="0"/>
              <w:adjustRightInd w:val="0"/>
              <w:ind w:firstLine="5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2" w:type="dxa"/>
          </w:tcPr>
          <w:p w:rsidR="00D91492" w:rsidRDefault="00D91492" w:rsidP="00D9149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14D10" w:rsidRPr="00C14D10" w:rsidRDefault="00C14D10" w:rsidP="00C14D10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sectPr w:rsidR="00C14D10" w:rsidRPr="00C14D10" w:rsidSect="008876B7">
      <w:headerReference w:type="default" r:id="rId21"/>
      <w:pgSz w:w="16838" w:h="11906" w:orient="landscape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0E3" w:rsidRDefault="00D010E3" w:rsidP="008876B7">
      <w:pPr>
        <w:spacing w:after="0" w:line="240" w:lineRule="auto"/>
      </w:pPr>
      <w:r>
        <w:separator/>
      </w:r>
    </w:p>
  </w:endnote>
  <w:endnote w:type="continuationSeparator" w:id="0">
    <w:p w:rsidR="00D010E3" w:rsidRDefault="00D010E3" w:rsidP="00887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0E3" w:rsidRDefault="00D010E3" w:rsidP="008876B7">
      <w:pPr>
        <w:spacing w:after="0" w:line="240" w:lineRule="auto"/>
      </w:pPr>
      <w:r>
        <w:separator/>
      </w:r>
    </w:p>
  </w:footnote>
  <w:footnote w:type="continuationSeparator" w:id="0">
    <w:p w:rsidR="00D010E3" w:rsidRDefault="00D010E3" w:rsidP="008876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018127"/>
      <w:docPartObj>
        <w:docPartGallery w:val="Page Numbers (Top of Page)"/>
        <w:docPartUnique/>
      </w:docPartObj>
    </w:sdtPr>
    <w:sdtContent>
      <w:p w:rsidR="008876B7" w:rsidRDefault="00FC4151">
        <w:pPr>
          <w:pStyle w:val="a4"/>
          <w:jc w:val="center"/>
        </w:pPr>
        <w:fldSimple w:instr=" PAGE   \* MERGEFORMAT ">
          <w:r w:rsidR="009A7F21">
            <w:rPr>
              <w:noProof/>
            </w:rPr>
            <w:t>13</w:t>
          </w:r>
        </w:fldSimple>
      </w:p>
    </w:sdtContent>
  </w:sdt>
  <w:p w:rsidR="008876B7" w:rsidRDefault="008876B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BB75A0"/>
    <w:multiLevelType w:val="hybridMultilevel"/>
    <w:tmpl w:val="244CEAF8"/>
    <w:lvl w:ilvl="0" w:tplc="D16A559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4D10"/>
    <w:rsid w:val="000033E1"/>
    <w:rsid w:val="0002549C"/>
    <w:rsid w:val="00064984"/>
    <w:rsid w:val="00077FCF"/>
    <w:rsid w:val="00092E1F"/>
    <w:rsid w:val="000D6752"/>
    <w:rsid w:val="00130019"/>
    <w:rsid w:val="00196ED3"/>
    <w:rsid w:val="00203B02"/>
    <w:rsid w:val="00207F2D"/>
    <w:rsid w:val="00287869"/>
    <w:rsid w:val="00412B98"/>
    <w:rsid w:val="004F7B5A"/>
    <w:rsid w:val="007567FE"/>
    <w:rsid w:val="00782084"/>
    <w:rsid w:val="007A0E91"/>
    <w:rsid w:val="008876B7"/>
    <w:rsid w:val="009A559A"/>
    <w:rsid w:val="009A7F21"/>
    <w:rsid w:val="009B143B"/>
    <w:rsid w:val="00A710E5"/>
    <w:rsid w:val="00B21A97"/>
    <w:rsid w:val="00B25EA8"/>
    <w:rsid w:val="00B732DC"/>
    <w:rsid w:val="00B813BD"/>
    <w:rsid w:val="00C07F7E"/>
    <w:rsid w:val="00C14D10"/>
    <w:rsid w:val="00C304F7"/>
    <w:rsid w:val="00D010E3"/>
    <w:rsid w:val="00D566DE"/>
    <w:rsid w:val="00D91492"/>
    <w:rsid w:val="00F86110"/>
    <w:rsid w:val="00FB7A60"/>
    <w:rsid w:val="00FC4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7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2DC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88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876B7"/>
  </w:style>
  <w:style w:type="paragraph" w:styleId="a6">
    <w:name w:val="footer"/>
    <w:basedOn w:val="a"/>
    <w:link w:val="a7"/>
    <w:uiPriority w:val="99"/>
    <w:semiHidden/>
    <w:unhideWhenUsed/>
    <w:rsid w:val="00887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876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05861D93B3E5FAEA3B2881B40603DBB8A84B18A42BB8336E0B71D5476AE4DC016F278EB8C1D7D6F66D66413ET5v2N" TargetMode="External"/><Relationship Id="rId13" Type="http://schemas.openxmlformats.org/officeDocument/2006/relationships/hyperlink" Target="consultantplus://offline/ref=28C268F63231C13247FA66F5FA4E55D607436E89B026AF2425F6DED3C2BD2DD68FA6CE75D5B52D7565548173E0uCzAN" TargetMode="External"/><Relationship Id="rId18" Type="http://schemas.openxmlformats.org/officeDocument/2006/relationships/hyperlink" Target="consultantplus://offline/ref=28C268F63231C13247FA66F5FA4E55D607436E89B026AF2425F6DED3C2BD2DD68FA6CE75D5B52D7565548173E0uCzAN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1305861D93B3E5FAEA3B2881B40603DBB8A84B18A42BB8336E0B71D5476AE4DC016F278EB8C1D7D6F66D66413ET5v2N" TargetMode="External"/><Relationship Id="rId12" Type="http://schemas.openxmlformats.org/officeDocument/2006/relationships/hyperlink" Target="consultantplus://offline/ref=1305861D93B3E5FAEA3B2881B40603DBB8A84B18A42BB8336E0B71D5476AE4DC016F278EB8C1D7D6F66D66413ET5v2N" TargetMode="External"/><Relationship Id="rId17" Type="http://schemas.openxmlformats.org/officeDocument/2006/relationships/hyperlink" Target="consultantplus://offline/ref=28C268F63231C13247FA66F5FA4E55D607436E89B026AF2425F6DED3C2BD2DD68FA6CE75D5B52D7565548173E0uCzA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8C268F63231C13247FA66F5FA4E55D607436E89B026AF2425F6DED3C2BD2DD68FA6CE75D5B52D7565548173E0uCzAN" TargetMode="External"/><Relationship Id="rId20" Type="http://schemas.openxmlformats.org/officeDocument/2006/relationships/hyperlink" Target="consultantplus://offline/ref=9D0814447F09B200F0C5E423A12D8A7D0F9D3C2D0A69CA6B3CBD1BD03753DBB65C8A9FA372074D820207ACFB4Bf237N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305861D93B3E5FAEA3B2881B40603DBB8A84B18A42BB8336E0B71D5476AE4DC016F278EB8C1D7D6F66D66413ET5v2N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8C268F63231C13247FA66F5FA4E55D607436E89B026AF2425F6DED3C2BD2DD68FA6CE75D5B52D7565548173E0uCzAN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1305861D93B3E5FAEA3B2881B40603DBB8A84B18A42BB8336E0B71D5476AE4DC016F278EB8C1D7D6F66D66413ET5v2N" TargetMode="External"/><Relationship Id="rId19" Type="http://schemas.openxmlformats.org/officeDocument/2006/relationships/hyperlink" Target="consultantplus://offline/ref=9D0814447F09B200F0C5E423A12D8A7D0F9D3C2D0A69CA6B3CBD1BD03753DBB65C8A9FA372074D820207ACFB4Bf237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305861D93B3E5FAEA3B2881B40603DBB8A84B18A42BB8336E0B71D5476AE4DC016F278EB8C1D7D6F66D66413ET5v2N" TargetMode="External"/><Relationship Id="rId14" Type="http://schemas.openxmlformats.org/officeDocument/2006/relationships/hyperlink" Target="consultantplus://offline/ref=28C268F63231C13247FA66F5FA4E55D607436E89B026AF2425F6DED3C2BD2DD68FA6CE75D5B52D7565548173E0uCzAN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3245</Words>
  <Characters>18503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zaharov.vyacheslav</dc:creator>
  <cp:lastModifiedBy>hayrullin.rr</cp:lastModifiedBy>
  <cp:revision>13</cp:revision>
  <cp:lastPrinted>2017-11-15T11:25:00Z</cp:lastPrinted>
  <dcterms:created xsi:type="dcterms:W3CDTF">2017-11-15T10:11:00Z</dcterms:created>
  <dcterms:modified xsi:type="dcterms:W3CDTF">2019-09-13T13:59:00Z</dcterms:modified>
</cp:coreProperties>
</file>