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ECC" w:rsidRDefault="00E86ECC" w:rsidP="00E86ECC">
      <w:pPr>
        <w:pStyle w:val="a7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86ECC" w:rsidRDefault="00E86ECC" w:rsidP="00E86ECC">
      <w:pPr>
        <w:pStyle w:val="a7"/>
        <w:shd w:val="clear" w:color="auto" w:fill="auto"/>
        <w:spacing w:line="240" w:lineRule="auto"/>
        <w:ind w:right="-15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  <w:bookmarkStart w:id="0" w:name="_GoBack"/>
      <w:bookmarkEnd w:id="0"/>
    </w:p>
    <w:p w:rsidR="00E86ECC" w:rsidRDefault="00E86ECC"/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432"/>
      </w:tblGrid>
      <w:tr w:rsidR="00F432A8" w:rsidRPr="00C4308F" w:rsidTr="00F432A8">
        <w:trPr>
          <w:jc w:val="right"/>
        </w:trPr>
        <w:tc>
          <w:tcPr>
            <w:tcW w:w="3432" w:type="dxa"/>
            <w:shd w:val="clear" w:color="auto" w:fill="auto"/>
          </w:tcPr>
          <w:p w:rsidR="00F432A8" w:rsidRDefault="00F432A8" w:rsidP="00C74F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p w:rsidR="00F432A8" w:rsidRDefault="00F432A8" w:rsidP="00C74F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43926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осится депутатом</w:t>
            </w:r>
          </w:p>
          <w:p w:rsidR="00F432A8" w:rsidRDefault="00F432A8" w:rsidP="00C74F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Государственного Совета Республики Татарстан </w:t>
            </w:r>
          </w:p>
          <w:p w:rsidR="00F432A8" w:rsidRDefault="00F432A8" w:rsidP="00C74F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А.Ш. Бикмурзиным </w:t>
            </w:r>
          </w:p>
          <w:p w:rsidR="00F432A8" w:rsidRPr="00C4308F" w:rsidRDefault="00F432A8" w:rsidP="00C74FD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432A8" w:rsidRDefault="00F432A8">
      <w:pPr>
        <w:pStyle w:val="1"/>
        <w:shd w:val="clear" w:color="auto" w:fill="auto"/>
        <w:ind w:firstLine="0"/>
        <w:jc w:val="center"/>
      </w:pPr>
    </w:p>
    <w:p w:rsidR="005D3AE5" w:rsidRPr="00F432A8" w:rsidRDefault="00C74FA8">
      <w:pPr>
        <w:pStyle w:val="1"/>
        <w:shd w:val="clear" w:color="auto" w:fill="auto"/>
        <w:ind w:firstLine="0"/>
        <w:jc w:val="center"/>
        <w:rPr>
          <w:b/>
        </w:rPr>
      </w:pPr>
      <w:r w:rsidRPr="00F432A8">
        <w:rPr>
          <w:b/>
        </w:rPr>
        <w:t>ЗАКОН</w:t>
      </w:r>
    </w:p>
    <w:p w:rsidR="005D3AE5" w:rsidRPr="00F432A8" w:rsidRDefault="00C74FA8">
      <w:pPr>
        <w:pStyle w:val="1"/>
        <w:shd w:val="clear" w:color="auto" w:fill="auto"/>
        <w:spacing w:after="320"/>
        <w:ind w:firstLine="0"/>
        <w:jc w:val="center"/>
        <w:rPr>
          <w:b/>
        </w:rPr>
      </w:pPr>
      <w:r w:rsidRPr="00F432A8">
        <w:rPr>
          <w:b/>
        </w:rPr>
        <w:t>РЕСПУБЛИКИ ТАТАРСТАН</w:t>
      </w:r>
    </w:p>
    <w:p w:rsidR="005D3AE5" w:rsidRDefault="00C74FA8">
      <w:pPr>
        <w:pStyle w:val="11"/>
        <w:keepNext/>
        <w:keepLines/>
        <w:shd w:val="clear" w:color="auto" w:fill="auto"/>
        <w:spacing w:after="660"/>
        <w:ind w:firstLine="0"/>
        <w:jc w:val="center"/>
      </w:pPr>
      <w:bookmarkStart w:id="1" w:name="bookmark0"/>
      <w:r>
        <w:t>Об инвестиционном налоговом вычете в Республике Татарстан</w:t>
      </w:r>
      <w:bookmarkEnd w:id="1"/>
    </w:p>
    <w:p w:rsidR="005D3AE5" w:rsidRDefault="00C74FA8" w:rsidP="00FA14D6">
      <w:pPr>
        <w:pStyle w:val="11"/>
        <w:keepNext/>
        <w:keepLines/>
        <w:shd w:val="clear" w:color="auto" w:fill="auto"/>
        <w:spacing w:after="0" w:line="360" w:lineRule="auto"/>
        <w:ind w:firstLine="709"/>
      </w:pPr>
      <w:bookmarkStart w:id="2" w:name="bookmark1"/>
      <w:r>
        <w:t>Статья 1. Предмет правового регулирования настоящего Закона</w:t>
      </w:r>
      <w:bookmarkEnd w:id="2"/>
    </w:p>
    <w:p w:rsidR="005D3AE5" w:rsidRDefault="00C74FA8" w:rsidP="00FA14D6">
      <w:pPr>
        <w:pStyle w:val="1"/>
        <w:shd w:val="clear" w:color="auto" w:fill="auto"/>
        <w:spacing w:line="360" w:lineRule="auto"/>
        <w:ind w:firstLine="709"/>
      </w:pPr>
      <w:r>
        <w:t>Настоящий Закон в соответствии с частью второй Налогового кодекса Российской Федерации устанавливает:</w:t>
      </w:r>
    </w:p>
    <w:p w:rsidR="005D3AE5" w:rsidRDefault="00C74FA8" w:rsidP="00FA14D6">
      <w:pPr>
        <w:pStyle w:val="1"/>
        <w:numPr>
          <w:ilvl w:val="0"/>
          <w:numId w:val="1"/>
        </w:numPr>
        <w:shd w:val="clear" w:color="auto" w:fill="auto"/>
        <w:tabs>
          <w:tab w:val="left" w:pos="1409"/>
        </w:tabs>
        <w:spacing w:line="360" w:lineRule="auto"/>
        <w:ind w:firstLine="709"/>
      </w:pPr>
      <w:r>
        <w:t>право на применение инвестиционного налогового вычета в отношении расходов налогоплательщиков, указанных в пункте 2 статьи 286.1 Налогового кодекса Российской Федерации, применительно к объектам основных средств, относящимся к организациям или обособленным подразделениям организаций, расположенных на территории Республики Татарстан;</w:t>
      </w:r>
    </w:p>
    <w:p w:rsidR="005D3AE5" w:rsidRDefault="00C74FA8" w:rsidP="00FA14D6">
      <w:pPr>
        <w:pStyle w:val="1"/>
        <w:numPr>
          <w:ilvl w:val="0"/>
          <w:numId w:val="1"/>
        </w:numPr>
        <w:shd w:val="clear" w:color="auto" w:fill="auto"/>
        <w:tabs>
          <w:tab w:val="left" w:pos="1409"/>
        </w:tabs>
        <w:spacing w:line="360" w:lineRule="auto"/>
        <w:ind w:firstLine="709"/>
      </w:pPr>
      <w:r>
        <w:t>размеры инвестиционного налогового вычета, право на применение которого предоставляется в соответствии с пунктом 1 настоящей статьи;</w:t>
      </w:r>
    </w:p>
    <w:p w:rsidR="005D3AE5" w:rsidRDefault="00C74FA8" w:rsidP="00FA14D6">
      <w:pPr>
        <w:pStyle w:val="1"/>
        <w:numPr>
          <w:ilvl w:val="0"/>
          <w:numId w:val="1"/>
        </w:numPr>
        <w:shd w:val="clear" w:color="auto" w:fill="auto"/>
        <w:tabs>
          <w:tab w:val="left" w:pos="1409"/>
        </w:tabs>
        <w:spacing w:line="360" w:lineRule="auto"/>
        <w:ind w:firstLine="709"/>
      </w:pPr>
      <w:r>
        <w:t>категории налогоплательщиков, которым предоставляется (не предоставляется) право на применение инвестиционного налогового вычета, предусмотренное пунктом 1 настоящей статьи;</w:t>
      </w:r>
    </w:p>
    <w:p w:rsidR="005D3AE5" w:rsidRDefault="00C74FA8" w:rsidP="00FA14D6">
      <w:pPr>
        <w:pStyle w:val="1"/>
        <w:numPr>
          <w:ilvl w:val="0"/>
          <w:numId w:val="1"/>
        </w:numPr>
        <w:shd w:val="clear" w:color="auto" w:fill="auto"/>
        <w:tabs>
          <w:tab w:val="left" w:pos="1409"/>
        </w:tabs>
        <w:spacing w:line="360" w:lineRule="auto"/>
        <w:ind w:firstLine="709"/>
      </w:pPr>
      <w:r>
        <w:t>категории объектов основных средств, в отношении которых налогоплательщикам предоставляется (не предоставляется) право на применение инвестиционного налогового вычета, предусмотренное пунктом 1 настоящей статьи.</w:t>
      </w:r>
    </w:p>
    <w:p w:rsidR="005D3AE5" w:rsidRDefault="00C74FA8" w:rsidP="00FA14D6">
      <w:pPr>
        <w:pStyle w:val="11"/>
        <w:keepNext/>
        <w:keepLines/>
        <w:shd w:val="clear" w:color="auto" w:fill="auto"/>
        <w:spacing w:after="0" w:line="360" w:lineRule="auto"/>
        <w:ind w:firstLine="709"/>
      </w:pPr>
      <w:bookmarkStart w:id="3" w:name="bookmark2"/>
      <w:r>
        <w:lastRenderedPageBreak/>
        <w:t>Статья 2. Предоставление права на применение инвестиционного налогового вычета в Республике Татарстан</w:t>
      </w:r>
      <w:bookmarkEnd w:id="3"/>
    </w:p>
    <w:p w:rsidR="005D3AE5" w:rsidRDefault="00C74FA8" w:rsidP="00FA14D6">
      <w:pPr>
        <w:pStyle w:val="1"/>
        <w:numPr>
          <w:ilvl w:val="0"/>
          <w:numId w:val="2"/>
        </w:numPr>
        <w:shd w:val="clear" w:color="auto" w:fill="auto"/>
        <w:tabs>
          <w:tab w:val="left" w:pos="1128"/>
        </w:tabs>
        <w:spacing w:line="360" w:lineRule="auto"/>
        <w:ind w:firstLine="709"/>
      </w:pPr>
      <w:r>
        <w:t>Организации, состоящие на учете в налоговых органах и осуществляющие хозяйственную деятельность на территории Республики Татарстан, имеют право уменьшить суммы налога на прибыль организаций (авансового платежа), подлежащие зачислению в доходную часть бюджета Республики Татарстан, исчисленные им в качестве налогоплательщика в соответствии со статьями 286 и 288 Налогового кодекса Российской Федерации по налоговой ставке, установленной пунктом 1 статьи 284 Налогового кодекса Российской Федерации, на установленный настоящим Законом инвестиционный налоговый вычет в порядке, установленном частью второй Налогового кодекса Российской Федерации с учетом статьей 3, 4, 5 и 6 настоящего Закона.</w:t>
      </w:r>
    </w:p>
    <w:p w:rsidR="005D3AE5" w:rsidRDefault="00C74FA8" w:rsidP="00FA14D6">
      <w:pPr>
        <w:pStyle w:val="1"/>
        <w:numPr>
          <w:ilvl w:val="0"/>
          <w:numId w:val="2"/>
        </w:numPr>
        <w:shd w:val="clear" w:color="auto" w:fill="auto"/>
        <w:tabs>
          <w:tab w:val="left" w:pos="1125"/>
        </w:tabs>
        <w:spacing w:line="360" w:lineRule="auto"/>
        <w:ind w:firstLine="709"/>
      </w:pPr>
      <w:r>
        <w:t>Право на применение инвестиционного налогового вычета предоставляется в случаях отсутствия:</w:t>
      </w:r>
    </w:p>
    <w:p w:rsidR="005D3AE5" w:rsidRDefault="00C74FA8" w:rsidP="00FA14D6">
      <w:pPr>
        <w:pStyle w:val="1"/>
        <w:numPr>
          <w:ilvl w:val="0"/>
          <w:numId w:val="3"/>
        </w:numPr>
        <w:shd w:val="clear" w:color="auto" w:fill="auto"/>
        <w:tabs>
          <w:tab w:val="left" w:pos="1125"/>
        </w:tabs>
        <w:spacing w:line="360" w:lineRule="auto"/>
        <w:ind w:firstLine="709"/>
      </w:pPr>
      <w:r>
        <w:t>у организации задолженности по налогам и сборам, пеням и штрафам в бюджетную систему Российской Федерации;</w:t>
      </w:r>
    </w:p>
    <w:p w:rsidR="005D3AE5" w:rsidRDefault="00C74FA8" w:rsidP="00FA14D6">
      <w:pPr>
        <w:pStyle w:val="1"/>
        <w:numPr>
          <w:ilvl w:val="0"/>
          <w:numId w:val="3"/>
        </w:numPr>
        <w:shd w:val="clear" w:color="auto" w:fill="auto"/>
        <w:tabs>
          <w:tab w:val="left" w:pos="1125"/>
        </w:tabs>
        <w:spacing w:line="360" w:lineRule="auto"/>
        <w:ind w:firstLine="709"/>
      </w:pPr>
      <w:r>
        <w:t xml:space="preserve">иных форм государственной поддержки Республики Татарстан, </w:t>
      </w:r>
      <w:r w:rsidR="00785723">
        <w:t xml:space="preserve">(в части льготы по налогу на прибыль), </w:t>
      </w:r>
      <w:r>
        <w:t>представленной организации при осуществлении инвестиций, являющихся основанием для представления инвестиционного налогового вычета.</w:t>
      </w:r>
    </w:p>
    <w:p w:rsidR="005D3AE5" w:rsidRDefault="00C74FA8" w:rsidP="00FA14D6">
      <w:pPr>
        <w:pStyle w:val="11"/>
        <w:keepNext/>
        <w:keepLines/>
        <w:shd w:val="clear" w:color="auto" w:fill="auto"/>
        <w:spacing w:after="0" w:line="360" w:lineRule="auto"/>
        <w:ind w:firstLine="709"/>
      </w:pPr>
      <w:bookmarkStart w:id="4" w:name="bookmark3"/>
      <w:r>
        <w:t>Статья 3. Установление размеров инвестиционного налогового вычета</w:t>
      </w:r>
      <w:bookmarkEnd w:id="4"/>
    </w:p>
    <w:p w:rsidR="005D3AE5" w:rsidRDefault="00C74FA8" w:rsidP="00FA14D6">
      <w:pPr>
        <w:pStyle w:val="1"/>
        <w:numPr>
          <w:ilvl w:val="0"/>
          <w:numId w:val="4"/>
        </w:numPr>
        <w:shd w:val="clear" w:color="auto" w:fill="auto"/>
        <w:tabs>
          <w:tab w:val="left" w:pos="1414"/>
        </w:tabs>
        <w:spacing w:line="360" w:lineRule="auto"/>
        <w:ind w:firstLine="709"/>
      </w:pPr>
      <w:r>
        <w:t xml:space="preserve">Инвестиционный налоговый вычет текущего налогового (отчетного) периода не может превышать 90 процентов суммы расходов текущего периода, указанных в абзаце втором пункта 1 статьи 257 Налогового кодекса Российской Федерации, и (или) не может превышать 90 процентов суммы расходов текущего периода на цели, указанные в пункте 2 статьи 257 Налогового кодекса Российской Федерации (за исключением </w:t>
      </w:r>
      <w:r>
        <w:lastRenderedPageBreak/>
        <w:t>расходов на ликвидацию основных средств).</w:t>
      </w:r>
    </w:p>
    <w:p w:rsidR="005D3AE5" w:rsidRDefault="00C74FA8" w:rsidP="00FA14D6">
      <w:pPr>
        <w:pStyle w:val="1"/>
        <w:numPr>
          <w:ilvl w:val="0"/>
          <w:numId w:val="4"/>
        </w:numPr>
        <w:shd w:val="clear" w:color="auto" w:fill="auto"/>
        <w:tabs>
          <w:tab w:val="left" w:pos="1414"/>
        </w:tabs>
        <w:spacing w:line="360" w:lineRule="auto"/>
        <w:ind w:firstLine="709"/>
      </w:pPr>
      <w:r>
        <w:t>Предельная величина инвестиционного налогового вычета определяется в размере, равном разнице между расчетной суммой налога, подлежащей зачислению в бюджет Республики Татарстан за налоговый (отчетный) период, определенной налогоплательщиком без учета положений настоящей статьи, и расчетной суммой налога, подлежащей зачислению в бюджет Республики Татарстан за налоговый (отчетный) период, определенной без учета положений настоящей статьи, при условии применения ставки налога, установленной настоящим законом для определения предельной величины инвестиционного налогового вычета.</w:t>
      </w:r>
    </w:p>
    <w:p w:rsidR="005D3AE5" w:rsidRDefault="00C74FA8" w:rsidP="00FA14D6">
      <w:pPr>
        <w:pStyle w:val="1"/>
        <w:numPr>
          <w:ilvl w:val="0"/>
          <w:numId w:val="4"/>
        </w:numPr>
        <w:shd w:val="clear" w:color="auto" w:fill="auto"/>
        <w:tabs>
          <w:tab w:val="left" w:pos="1414"/>
        </w:tabs>
        <w:spacing w:line="360" w:lineRule="auto"/>
        <w:ind w:firstLine="709"/>
      </w:pPr>
      <w:r>
        <w:t>Установить налоговую ставку для определения предельной величины инвестиционного налогового вычета в размере</w:t>
      </w:r>
      <w:r w:rsidR="00785723">
        <w:t xml:space="preserve"> 0 </w:t>
      </w:r>
      <w:r>
        <w:t>процентов:</w:t>
      </w:r>
    </w:p>
    <w:p w:rsidR="005D3AE5" w:rsidRDefault="00C74FA8" w:rsidP="00FA14D6">
      <w:pPr>
        <w:pStyle w:val="1"/>
        <w:numPr>
          <w:ilvl w:val="0"/>
          <w:numId w:val="5"/>
        </w:numPr>
        <w:shd w:val="clear" w:color="auto" w:fill="auto"/>
        <w:tabs>
          <w:tab w:val="left" w:pos="1414"/>
        </w:tabs>
        <w:spacing w:line="360" w:lineRule="auto"/>
        <w:ind w:firstLine="709"/>
      </w:pPr>
      <w:r>
        <w:t>для налогоплательщиков, у которых за соответствующий налоговый (отчетный) период не менее 70 процентов дохода составил доход от осуществления следующих видов экономической деятельности:</w:t>
      </w:r>
    </w:p>
    <w:p w:rsidR="005D3AE5" w:rsidRDefault="00C74FA8" w:rsidP="00FA14D6">
      <w:pPr>
        <w:pStyle w:val="1"/>
        <w:shd w:val="clear" w:color="auto" w:fill="auto"/>
        <w:tabs>
          <w:tab w:val="left" w:pos="1414"/>
        </w:tabs>
        <w:spacing w:line="360" w:lineRule="auto"/>
        <w:ind w:firstLine="709"/>
      </w:pPr>
      <w:r>
        <w:t>а)</w:t>
      </w:r>
      <w:r>
        <w:tab/>
        <w:t>обрабатывающее производство;</w:t>
      </w:r>
    </w:p>
    <w:p w:rsidR="005D3AE5" w:rsidRDefault="00C74FA8" w:rsidP="00FA14D6">
      <w:pPr>
        <w:pStyle w:val="1"/>
        <w:shd w:val="clear" w:color="auto" w:fill="auto"/>
        <w:tabs>
          <w:tab w:val="left" w:pos="1414"/>
        </w:tabs>
        <w:spacing w:line="360" w:lineRule="auto"/>
        <w:ind w:firstLine="709"/>
      </w:pPr>
      <w:r>
        <w:t>б)</w:t>
      </w:r>
      <w:r>
        <w:tab/>
        <w:t>производство и распределение электроэнергии, газа и воды;</w:t>
      </w:r>
    </w:p>
    <w:p w:rsidR="005D3AE5" w:rsidRDefault="00C74FA8" w:rsidP="00FA14D6">
      <w:pPr>
        <w:pStyle w:val="1"/>
        <w:numPr>
          <w:ilvl w:val="0"/>
          <w:numId w:val="5"/>
        </w:numPr>
        <w:shd w:val="clear" w:color="auto" w:fill="auto"/>
        <w:tabs>
          <w:tab w:val="left" w:pos="1414"/>
        </w:tabs>
        <w:spacing w:line="360" w:lineRule="auto"/>
        <w:ind w:firstLine="709"/>
      </w:pPr>
      <w:r>
        <w:t>для налогоплательщиков, у которых за соответствующий налоговый (отчетный) период 90 процентов дохода составил доход от образовательной и (или) медицинской деятельности в соответствии с законодательством Российской Федерации, отвечающих критериям, предусмотренным статьей 284.1 Налогового кодекса Российской Федерации.</w:t>
      </w:r>
    </w:p>
    <w:p w:rsidR="000F305F" w:rsidRDefault="000F305F" w:rsidP="00FA14D6">
      <w:pPr>
        <w:pStyle w:val="1"/>
        <w:numPr>
          <w:ilvl w:val="0"/>
          <w:numId w:val="4"/>
        </w:numPr>
        <w:shd w:val="clear" w:color="auto" w:fill="auto"/>
        <w:tabs>
          <w:tab w:val="left" w:pos="1414"/>
        </w:tabs>
        <w:spacing w:line="360" w:lineRule="auto"/>
        <w:ind w:firstLine="709"/>
      </w:pPr>
      <w:r>
        <w:t>Установить налоговую ставку для определения предельной величины инвестиционного налогового вычета в размере 13,5 процентов для налогоплательщиков, не указанных в пункте 3 настоящей статьи.</w:t>
      </w:r>
    </w:p>
    <w:p w:rsidR="00F432A8" w:rsidRDefault="00F432A8" w:rsidP="00FA14D6">
      <w:pPr>
        <w:pStyle w:val="1"/>
        <w:shd w:val="clear" w:color="auto" w:fill="auto"/>
        <w:spacing w:line="360" w:lineRule="auto"/>
        <w:ind w:firstLine="709"/>
        <w:rPr>
          <w:b/>
          <w:bCs/>
        </w:rPr>
      </w:pPr>
    </w:p>
    <w:p w:rsidR="005D3AE5" w:rsidRDefault="00C74FA8" w:rsidP="00FA14D6">
      <w:pPr>
        <w:pStyle w:val="1"/>
        <w:shd w:val="clear" w:color="auto" w:fill="auto"/>
        <w:spacing w:line="360" w:lineRule="auto"/>
        <w:ind w:firstLine="709"/>
      </w:pPr>
      <w:r>
        <w:rPr>
          <w:b/>
          <w:bCs/>
        </w:rPr>
        <w:t xml:space="preserve">Статья 4. Установление категорий налогоплательщиков, которым предоставляется (не предоставляется) право на применение </w:t>
      </w:r>
      <w:r>
        <w:rPr>
          <w:b/>
          <w:bCs/>
        </w:rPr>
        <w:lastRenderedPageBreak/>
        <w:t>инвестиционного налогового вычета</w:t>
      </w:r>
    </w:p>
    <w:p w:rsidR="005D3AE5" w:rsidRDefault="00C74FA8" w:rsidP="00FA14D6">
      <w:pPr>
        <w:pStyle w:val="1"/>
        <w:shd w:val="clear" w:color="auto" w:fill="auto"/>
        <w:spacing w:line="360" w:lineRule="auto"/>
        <w:ind w:firstLine="709"/>
      </w:pPr>
      <w:r>
        <w:t>Не вправе применять инвестиционный налоговый вычет следующие категории налогоплательщиков:</w:t>
      </w:r>
    </w:p>
    <w:p w:rsidR="005D3AE5" w:rsidRDefault="00C74FA8" w:rsidP="00FA14D6">
      <w:pPr>
        <w:pStyle w:val="1"/>
        <w:numPr>
          <w:ilvl w:val="0"/>
          <w:numId w:val="6"/>
        </w:numPr>
        <w:shd w:val="clear" w:color="auto" w:fill="auto"/>
        <w:tabs>
          <w:tab w:val="left" w:pos="1411"/>
        </w:tabs>
        <w:spacing w:line="360" w:lineRule="auto"/>
        <w:ind w:firstLine="709"/>
      </w:pPr>
      <w:r>
        <w:t>организации-резиденты особых экономических зон;</w:t>
      </w:r>
    </w:p>
    <w:p w:rsidR="005D3AE5" w:rsidRDefault="00C74FA8" w:rsidP="00FA14D6">
      <w:pPr>
        <w:pStyle w:val="1"/>
        <w:numPr>
          <w:ilvl w:val="0"/>
          <w:numId w:val="6"/>
        </w:numPr>
        <w:shd w:val="clear" w:color="auto" w:fill="auto"/>
        <w:tabs>
          <w:tab w:val="left" w:pos="1411"/>
        </w:tabs>
        <w:spacing w:line="360" w:lineRule="auto"/>
        <w:ind w:firstLine="709"/>
      </w:pPr>
      <w:r>
        <w:t>организации-резиденты территорий опережающего социально- экономического развития;</w:t>
      </w:r>
    </w:p>
    <w:p w:rsidR="005D3AE5" w:rsidRDefault="00C74FA8" w:rsidP="00FA14D6">
      <w:pPr>
        <w:pStyle w:val="1"/>
        <w:numPr>
          <w:ilvl w:val="0"/>
          <w:numId w:val="6"/>
        </w:numPr>
        <w:shd w:val="clear" w:color="auto" w:fill="auto"/>
        <w:tabs>
          <w:tab w:val="left" w:pos="1411"/>
        </w:tabs>
        <w:spacing w:line="360" w:lineRule="auto"/>
        <w:ind w:firstLine="709"/>
      </w:pPr>
      <w:r>
        <w:t>организации-участники специальных инвестиционных контрактов</w:t>
      </w:r>
      <w:r w:rsidR="00FF1160">
        <w:t xml:space="preserve"> в отношении категорий объектов основных средств, указанных в пункте 2 статьи 5 настоящего Закона;</w:t>
      </w:r>
    </w:p>
    <w:p w:rsidR="005D3AE5" w:rsidRDefault="00C74FA8" w:rsidP="00FA14D6">
      <w:pPr>
        <w:pStyle w:val="1"/>
        <w:numPr>
          <w:ilvl w:val="0"/>
          <w:numId w:val="6"/>
        </w:numPr>
        <w:shd w:val="clear" w:color="auto" w:fill="auto"/>
        <w:tabs>
          <w:tab w:val="left" w:pos="1411"/>
        </w:tabs>
        <w:spacing w:line="360" w:lineRule="auto"/>
        <w:ind w:firstLine="709"/>
      </w:pPr>
      <w:r>
        <w:t>организации-участники региональных инвестиционных проектов</w:t>
      </w:r>
      <w:r w:rsidR="00FF1160">
        <w:t>;</w:t>
      </w:r>
    </w:p>
    <w:p w:rsidR="005D3AE5" w:rsidRDefault="00C74FA8" w:rsidP="00FA14D6">
      <w:pPr>
        <w:pStyle w:val="1"/>
        <w:numPr>
          <w:ilvl w:val="0"/>
          <w:numId w:val="6"/>
        </w:numPr>
        <w:shd w:val="clear" w:color="auto" w:fill="auto"/>
        <w:tabs>
          <w:tab w:val="left" w:pos="1411"/>
        </w:tabs>
        <w:spacing w:line="360" w:lineRule="auto"/>
        <w:ind w:firstLine="709"/>
      </w:pPr>
      <w:r>
        <w:t>иностранные организации, признаваемые налоговыми резидентами Российской Федерации.</w:t>
      </w:r>
    </w:p>
    <w:p w:rsidR="005D3AE5" w:rsidRDefault="00FF1160" w:rsidP="00FA14D6">
      <w:pPr>
        <w:pStyle w:val="1"/>
        <w:shd w:val="clear" w:color="auto" w:fill="auto"/>
        <w:spacing w:line="360" w:lineRule="auto"/>
        <w:ind w:firstLine="709"/>
      </w:pPr>
      <w:r>
        <w:tab/>
      </w:r>
      <w:r w:rsidR="00C74FA8">
        <w:t>Для остальных категорий налогоплательщиков инвестиционный налоговый вычет представляется в соответствии с частью второй Налогового кодекса Российской Федерации с учетом настоящего Закона.</w:t>
      </w:r>
    </w:p>
    <w:p w:rsidR="005D3AE5" w:rsidRDefault="00C74FA8" w:rsidP="00FA14D6">
      <w:pPr>
        <w:pStyle w:val="1"/>
        <w:shd w:val="clear" w:color="auto" w:fill="auto"/>
        <w:spacing w:line="360" w:lineRule="auto"/>
        <w:ind w:firstLine="709"/>
      </w:pPr>
      <w:r>
        <w:rPr>
          <w:b/>
          <w:bCs/>
        </w:rPr>
        <w:t>Статья 5. Установление категорий объектов основных средств, в отношении которых налогоплательщикам предоставляется (не предоставляется) право на применение инвестиционного налогового вычета</w:t>
      </w:r>
    </w:p>
    <w:p w:rsidR="005D3AE5" w:rsidRDefault="00BF6D3E" w:rsidP="00FA14D6">
      <w:pPr>
        <w:pStyle w:val="1"/>
        <w:shd w:val="clear" w:color="auto" w:fill="auto"/>
        <w:spacing w:line="360" w:lineRule="auto"/>
        <w:ind w:firstLine="709"/>
      </w:pPr>
      <w:r>
        <w:t xml:space="preserve">1. </w:t>
      </w:r>
      <w:r w:rsidR="00C74FA8">
        <w:t>Право на применение инвестиционного налогового вычета предоставляется в отношении объектов основных средств, относящихся к третьей-седьмой амортизационным группам, а именно применяется в отношении инвестиций в здания, сооружения, передаточные устройства, машины, оборудование и транспортные средства, за исключением следующих объектов основных средств, принятых на учет в результате:</w:t>
      </w:r>
    </w:p>
    <w:p w:rsidR="005D3AE5" w:rsidRDefault="00C74FA8" w:rsidP="00FA14D6">
      <w:pPr>
        <w:pStyle w:val="1"/>
        <w:shd w:val="clear" w:color="auto" w:fill="auto"/>
        <w:spacing w:line="360" w:lineRule="auto"/>
        <w:ind w:firstLine="709"/>
      </w:pPr>
      <w:r>
        <w:t>реорганизации или ликвидации юридических лиц;</w:t>
      </w:r>
    </w:p>
    <w:p w:rsidR="005D3AE5" w:rsidRDefault="00C74FA8" w:rsidP="00FA14D6">
      <w:pPr>
        <w:pStyle w:val="1"/>
        <w:shd w:val="clear" w:color="auto" w:fill="auto"/>
        <w:spacing w:line="360" w:lineRule="auto"/>
        <w:ind w:firstLine="709"/>
      </w:pPr>
      <w:r>
        <w:t xml:space="preserve">передачи, включая приобретение, имущества между лицами, </w:t>
      </w:r>
      <w:r>
        <w:lastRenderedPageBreak/>
        <w:t>признаваемыми в соответствии с положениями пункта 2 статьи 105.1 Налогового кодекса Российской Федерации взаимозависимыми.</w:t>
      </w:r>
    </w:p>
    <w:p w:rsidR="00BF6D3E" w:rsidRDefault="00BF6D3E" w:rsidP="00FA14D6">
      <w:pPr>
        <w:pStyle w:val="1"/>
        <w:shd w:val="clear" w:color="auto" w:fill="auto"/>
        <w:spacing w:line="360" w:lineRule="auto"/>
        <w:ind w:firstLine="709"/>
      </w:pPr>
      <w:r>
        <w:t>2. В отношении объектов основных средств, принятых к учету в результате реализации проекта в соответствии со специальным инвестиционным контрактом, инвестиционный налоговый вычет не применяется.</w:t>
      </w:r>
    </w:p>
    <w:p w:rsidR="005D3AE5" w:rsidRDefault="00C74FA8" w:rsidP="00FA14D6">
      <w:pPr>
        <w:pStyle w:val="11"/>
        <w:keepNext/>
        <w:keepLines/>
        <w:shd w:val="clear" w:color="auto" w:fill="auto"/>
        <w:spacing w:after="0" w:line="360" w:lineRule="auto"/>
        <w:ind w:firstLine="709"/>
      </w:pPr>
      <w:bookmarkStart w:id="5" w:name="bookmark4"/>
      <w:r>
        <w:t xml:space="preserve">Статья 6. О вступлении в силу </w:t>
      </w:r>
      <w:bookmarkEnd w:id="5"/>
      <w:r w:rsidR="00326F7B">
        <w:t>настоящего Закона</w:t>
      </w:r>
    </w:p>
    <w:p w:rsidR="005D3AE5" w:rsidRDefault="00C74FA8" w:rsidP="00FA14D6">
      <w:pPr>
        <w:pStyle w:val="1"/>
        <w:numPr>
          <w:ilvl w:val="0"/>
          <w:numId w:val="7"/>
        </w:numPr>
        <w:shd w:val="clear" w:color="auto" w:fill="auto"/>
        <w:tabs>
          <w:tab w:val="left" w:pos="1411"/>
        </w:tabs>
        <w:spacing w:line="360" w:lineRule="auto"/>
        <w:ind w:firstLine="709"/>
      </w:pPr>
      <w:r>
        <w:t>Настоящий Закон вступает в силу со дня его официального опубликования, распространяется на правоотношения, возникшие с 1 января 2018 года, и действует до 31 декабря 2027 года.</w:t>
      </w:r>
    </w:p>
    <w:p w:rsidR="00BF6D3E" w:rsidRDefault="00BF6D3E">
      <w:pPr>
        <w:pStyle w:val="1"/>
        <w:shd w:val="clear" w:color="auto" w:fill="auto"/>
        <w:ind w:firstLine="0"/>
        <w:jc w:val="left"/>
      </w:pPr>
    </w:p>
    <w:p w:rsidR="00BF6D3E" w:rsidRDefault="00BF6D3E">
      <w:pPr>
        <w:pStyle w:val="1"/>
        <w:shd w:val="clear" w:color="auto" w:fill="auto"/>
        <w:ind w:firstLine="0"/>
        <w:jc w:val="left"/>
      </w:pPr>
    </w:p>
    <w:p w:rsidR="005D3AE5" w:rsidRPr="00BF6D3E" w:rsidRDefault="00C74FA8">
      <w:pPr>
        <w:pStyle w:val="1"/>
        <w:shd w:val="clear" w:color="auto" w:fill="auto"/>
        <w:ind w:firstLine="0"/>
        <w:jc w:val="left"/>
        <w:rPr>
          <w:b/>
        </w:rPr>
      </w:pPr>
      <w:r w:rsidRPr="00BF6D3E">
        <w:rPr>
          <w:b/>
        </w:rPr>
        <w:t>Президент</w:t>
      </w:r>
    </w:p>
    <w:p w:rsidR="005D3AE5" w:rsidRPr="00BF6D3E" w:rsidRDefault="00C74FA8">
      <w:pPr>
        <w:pStyle w:val="1"/>
        <w:shd w:val="clear" w:color="auto" w:fill="auto"/>
        <w:ind w:firstLine="0"/>
        <w:jc w:val="left"/>
        <w:rPr>
          <w:b/>
        </w:rPr>
      </w:pPr>
      <w:r w:rsidRPr="00BF6D3E">
        <w:rPr>
          <w:b/>
        </w:rPr>
        <w:t>Республики Татарстан</w:t>
      </w:r>
      <w:r w:rsidR="00BF6D3E" w:rsidRPr="00BF6D3E">
        <w:rPr>
          <w:b/>
        </w:rPr>
        <w:tab/>
      </w:r>
      <w:r w:rsidR="00BF6D3E" w:rsidRPr="00BF6D3E">
        <w:rPr>
          <w:b/>
        </w:rPr>
        <w:tab/>
      </w:r>
      <w:r w:rsidR="00BF6D3E" w:rsidRPr="00BF6D3E">
        <w:rPr>
          <w:b/>
        </w:rPr>
        <w:tab/>
      </w:r>
      <w:r w:rsidR="00BF6D3E" w:rsidRPr="00BF6D3E">
        <w:rPr>
          <w:b/>
        </w:rPr>
        <w:tab/>
      </w:r>
      <w:r w:rsidR="00BF6D3E" w:rsidRPr="00BF6D3E">
        <w:rPr>
          <w:b/>
        </w:rPr>
        <w:tab/>
        <w:t>Р.Н. Минниханов</w:t>
      </w:r>
    </w:p>
    <w:sectPr w:rsidR="005D3AE5" w:rsidRPr="00BF6D3E" w:rsidSect="00803AF9">
      <w:pgSz w:w="11900" w:h="16840"/>
      <w:pgMar w:top="1134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ADC" w:rsidRDefault="00F26ADC">
      <w:r>
        <w:separator/>
      </w:r>
    </w:p>
  </w:endnote>
  <w:endnote w:type="continuationSeparator" w:id="0">
    <w:p w:rsidR="00F26ADC" w:rsidRDefault="00F2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ADC" w:rsidRDefault="00F26ADC"/>
  </w:footnote>
  <w:footnote w:type="continuationSeparator" w:id="0">
    <w:p w:rsidR="00F26ADC" w:rsidRDefault="00F26AD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2D3C"/>
    <w:multiLevelType w:val="multilevel"/>
    <w:tmpl w:val="04C2C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A66B80"/>
    <w:multiLevelType w:val="multilevel"/>
    <w:tmpl w:val="A0C2BE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3F2ABA"/>
    <w:multiLevelType w:val="multilevel"/>
    <w:tmpl w:val="D70EEA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F57669"/>
    <w:multiLevelType w:val="multilevel"/>
    <w:tmpl w:val="CCCC59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6B7E1C"/>
    <w:multiLevelType w:val="multilevel"/>
    <w:tmpl w:val="A3C2F9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822D83"/>
    <w:multiLevelType w:val="multilevel"/>
    <w:tmpl w:val="62FCB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5A145C"/>
    <w:multiLevelType w:val="multilevel"/>
    <w:tmpl w:val="79ECF5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AE5"/>
    <w:rsid w:val="000F305F"/>
    <w:rsid w:val="00217D01"/>
    <w:rsid w:val="00326F7B"/>
    <w:rsid w:val="003B39D1"/>
    <w:rsid w:val="005D3AE5"/>
    <w:rsid w:val="00785723"/>
    <w:rsid w:val="007A0508"/>
    <w:rsid w:val="007A074B"/>
    <w:rsid w:val="00803AF9"/>
    <w:rsid w:val="00B30537"/>
    <w:rsid w:val="00BF6D3E"/>
    <w:rsid w:val="00C74FA8"/>
    <w:rsid w:val="00D57BD7"/>
    <w:rsid w:val="00E35C19"/>
    <w:rsid w:val="00E86ECC"/>
    <w:rsid w:val="00EC42C6"/>
    <w:rsid w:val="00F26ADC"/>
    <w:rsid w:val="00F432A8"/>
    <w:rsid w:val="00FA14D6"/>
    <w:rsid w:val="00FF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75B02-1756-43C4-A533-DCC57905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color w:val="8587BA"/>
      <w:sz w:val="30"/>
      <w:szCs w:val="3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00"/>
      <w:ind w:left="6600"/>
    </w:pPr>
    <w:rPr>
      <w:rFonts w:ascii="Arial" w:eastAsia="Arial" w:hAnsi="Arial" w:cs="Arial"/>
      <w:i/>
      <w:iCs/>
      <w:color w:val="8587BA"/>
      <w:sz w:val="30"/>
      <w:szCs w:val="30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30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803A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AF9"/>
    <w:rPr>
      <w:rFonts w:ascii="Tahoma" w:hAnsi="Tahoma" w:cs="Tahoma"/>
      <w:color w:val="000000"/>
      <w:sz w:val="16"/>
      <w:szCs w:val="16"/>
    </w:rPr>
  </w:style>
  <w:style w:type="character" w:customStyle="1" w:styleId="a6">
    <w:name w:val="Другое_"/>
    <w:basedOn w:val="a0"/>
    <w:link w:val="a7"/>
    <w:rsid w:val="00E86EC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7">
    <w:name w:val="Другое"/>
    <w:basedOn w:val="a"/>
    <w:link w:val="a6"/>
    <w:rsid w:val="00E86ECC"/>
    <w:pPr>
      <w:shd w:val="clear" w:color="auto" w:fill="FFFFFF"/>
      <w:spacing w:line="257" w:lineRule="auto"/>
      <w:jc w:val="both"/>
    </w:pPr>
    <w:rPr>
      <w:rFonts w:ascii="Calibri" w:eastAsia="Calibri" w:hAnsi="Calibri" w:cs="Calibr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Рязанова Людмила Афиногеновна</dc:creator>
  <cp:lastModifiedBy>Рязанова Людмила Афиногеновна</cp:lastModifiedBy>
  <cp:revision>4</cp:revision>
  <cp:lastPrinted>2019-02-18T10:37:00Z</cp:lastPrinted>
  <dcterms:created xsi:type="dcterms:W3CDTF">2019-03-31T07:53:00Z</dcterms:created>
  <dcterms:modified xsi:type="dcterms:W3CDTF">2019-07-12T06:14:00Z</dcterms:modified>
</cp:coreProperties>
</file>