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D10" w:rsidRPr="007421CD" w:rsidRDefault="00840869" w:rsidP="001373F3">
      <w:pPr>
        <w:jc w:val="center"/>
        <w:rPr>
          <w:b/>
        </w:rPr>
      </w:pPr>
      <w:r w:rsidRPr="007421CD">
        <w:rPr>
          <w:b/>
        </w:rPr>
        <w:t>ПОЯСНИТЕЛЬНАЯ ЗАПИСКА</w:t>
      </w:r>
    </w:p>
    <w:p w:rsidR="00840869" w:rsidRPr="007421CD" w:rsidRDefault="00840869" w:rsidP="001373F3">
      <w:pPr>
        <w:jc w:val="center"/>
        <w:rPr>
          <w:b/>
        </w:rPr>
      </w:pPr>
      <w:r w:rsidRPr="007421CD">
        <w:rPr>
          <w:b/>
        </w:rPr>
        <w:t xml:space="preserve">к проекту </w:t>
      </w:r>
      <w:r w:rsidR="00A72392" w:rsidRPr="007421CD">
        <w:rPr>
          <w:b/>
        </w:rPr>
        <w:t>з</w:t>
      </w:r>
      <w:r w:rsidRPr="007421CD">
        <w:rPr>
          <w:b/>
        </w:rPr>
        <w:t>акона Республики Татарстан</w:t>
      </w:r>
    </w:p>
    <w:p w:rsidR="00C92061" w:rsidRDefault="00C92061" w:rsidP="001373F3">
      <w:pPr>
        <w:pStyle w:val="20"/>
        <w:keepNext/>
        <w:keepLines/>
        <w:shd w:val="clear" w:color="auto" w:fill="auto"/>
        <w:spacing w:before="0" w:after="0" w:line="240" w:lineRule="auto"/>
        <w:rPr>
          <w:sz w:val="28"/>
          <w:szCs w:val="28"/>
        </w:rPr>
      </w:pPr>
      <w:r w:rsidRPr="001A1708">
        <w:rPr>
          <w:sz w:val="28"/>
          <w:szCs w:val="28"/>
        </w:rPr>
        <w:t>О внесении изменени</w:t>
      </w:r>
      <w:r>
        <w:rPr>
          <w:sz w:val="28"/>
          <w:szCs w:val="28"/>
          <w:lang w:val="ru-RU"/>
        </w:rPr>
        <w:t>я</w:t>
      </w:r>
      <w:r w:rsidRPr="001A1708">
        <w:rPr>
          <w:sz w:val="28"/>
          <w:szCs w:val="28"/>
        </w:rPr>
        <w:t xml:space="preserve"> в Закон Республики Татарстан </w:t>
      </w:r>
    </w:p>
    <w:p w:rsidR="00C92061" w:rsidRPr="001A1708" w:rsidRDefault="00C92061" w:rsidP="001373F3">
      <w:pPr>
        <w:pStyle w:val="20"/>
        <w:keepNext/>
        <w:keepLines/>
        <w:shd w:val="clear" w:color="auto" w:fill="auto"/>
        <w:spacing w:before="0"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1A1708">
        <w:rPr>
          <w:sz w:val="28"/>
          <w:szCs w:val="28"/>
        </w:rPr>
        <w:t>Об утверждении Стратегии</w:t>
      </w:r>
      <w:r>
        <w:rPr>
          <w:sz w:val="28"/>
          <w:szCs w:val="28"/>
          <w:lang w:val="ru-RU"/>
        </w:rPr>
        <w:t xml:space="preserve"> развития</w:t>
      </w:r>
      <w:r w:rsidRPr="001A1708">
        <w:rPr>
          <w:sz w:val="28"/>
          <w:szCs w:val="28"/>
        </w:rPr>
        <w:t xml:space="preserve"> </w:t>
      </w:r>
      <w:r w:rsidRPr="00B52A41">
        <w:rPr>
          <w:sz w:val="28"/>
          <w:szCs w:val="28"/>
        </w:rPr>
        <w:t>топливно-энергетического комплекса</w:t>
      </w:r>
      <w:r>
        <w:rPr>
          <w:sz w:val="28"/>
          <w:szCs w:val="28"/>
        </w:rPr>
        <w:t xml:space="preserve"> </w:t>
      </w:r>
      <w:r w:rsidRPr="001A1708">
        <w:rPr>
          <w:sz w:val="28"/>
          <w:szCs w:val="28"/>
        </w:rPr>
        <w:t xml:space="preserve">Республики Татарстан </w:t>
      </w:r>
      <w:r>
        <w:rPr>
          <w:sz w:val="28"/>
          <w:szCs w:val="28"/>
          <w:lang w:val="ru-RU"/>
        </w:rPr>
        <w:t xml:space="preserve">на период </w:t>
      </w:r>
      <w:r w:rsidRPr="001A1708">
        <w:rPr>
          <w:sz w:val="28"/>
          <w:szCs w:val="28"/>
        </w:rPr>
        <w:t>до 2030 года</w:t>
      </w:r>
      <w:r>
        <w:rPr>
          <w:sz w:val="28"/>
          <w:szCs w:val="28"/>
          <w:lang w:val="ru-RU"/>
        </w:rPr>
        <w:t>»</w:t>
      </w:r>
    </w:p>
    <w:p w:rsidR="006C4900" w:rsidRDefault="006C4900" w:rsidP="001373F3">
      <w:pPr>
        <w:pStyle w:val="20"/>
        <w:keepNext/>
        <w:keepLines/>
        <w:shd w:val="clear" w:color="auto" w:fill="auto"/>
        <w:spacing w:before="0" w:after="0" w:line="240" w:lineRule="auto"/>
        <w:jc w:val="both"/>
        <w:rPr>
          <w:rFonts w:eastAsia="Calibri"/>
          <w:b w:val="0"/>
          <w:sz w:val="28"/>
          <w:szCs w:val="28"/>
          <w:shd w:val="clear" w:color="auto" w:fill="auto"/>
          <w:lang w:val="ru-RU" w:eastAsia="en-US"/>
        </w:rPr>
      </w:pPr>
    </w:p>
    <w:p w:rsidR="00580C49" w:rsidRPr="002C5923" w:rsidRDefault="00580C49" w:rsidP="0029383F">
      <w:pPr>
        <w:autoSpaceDE w:val="0"/>
        <w:autoSpaceDN w:val="0"/>
        <w:adjustRightInd w:val="0"/>
        <w:ind w:firstLine="709"/>
        <w:jc w:val="both"/>
        <w:outlineLvl w:val="1"/>
      </w:pPr>
      <w:r w:rsidRPr="002C5923">
        <w:t>Стратегия развития топливно-энергетического ко</w:t>
      </w:r>
      <w:r w:rsidR="00AC00EA">
        <w:t xml:space="preserve">мплекса Республики Татарстан на период </w:t>
      </w:r>
      <w:r w:rsidRPr="002C5923">
        <w:t>20</w:t>
      </w:r>
      <w:r w:rsidR="00AC00EA">
        <w:t>30 года</w:t>
      </w:r>
      <w:r w:rsidRPr="002C5923">
        <w:t xml:space="preserve"> (далее </w:t>
      </w:r>
      <w:r w:rsidR="0029383F">
        <w:t>–</w:t>
      </w:r>
      <w:r w:rsidRPr="002C5923">
        <w:t xml:space="preserve"> Стратегия) определяет перспективы развития топливно-энергетического комплекса республики и приоритетные направления развития нефтедобычи, включая вопросы возобновления минерально-сырьевой базы, нефтепереработки</w:t>
      </w:r>
      <w:r w:rsidR="00976090">
        <w:t>, газовой отрасли</w:t>
      </w:r>
      <w:r w:rsidRPr="002C5923">
        <w:t xml:space="preserve"> и энергетического комплекса. </w:t>
      </w:r>
    </w:p>
    <w:p w:rsidR="001E7E06" w:rsidRDefault="00580C49" w:rsidP="0029383F">
      <w:pPr>
        <w:autoSpaceDE w:val="0"/>
        <w:autoSpaceDN w:val="0"/>
        <w:adjustRightInd w:val="0"/>
        <w:ind w:firstLine="709"/>
        <w:jc w:val="both"/>
        <w:outlineLvl w:val="1"/>
      </w:pPr>
      <w:r w:rsidRPr="002C5923">
        <w:t>Обозначенные в Стратегии приоритеты остались актуальными и в настоящее время, однако произошли существенные изменения в развитии мирового и российского рынков нефти и нефтепродуктов, значительно усовершенствовались технологии добычи углеводородного сырья и методы увелич</w:t>
      </w:r>
      <w:r w:rsidR="00354B1C">
        <w:t>ения нефтеотдачи, в связи с чем</w:t>
      </w:r>
      <w:r w:rsidRPr="002C5923">
        <w:t xml:space="preserve"> стала более эффективной разработка ранее нерентабельных месторождений сверхвязких нефтей и природных битумов. </w:t>
      </w:r>
      <w:r w:rsidR="00AC00EA">
        <w:t xml:space="preserve"> </w:t>
      </w:r>
    </w:p>
    <w:p w:rsidR="00AC00EA" w:rsidRPr="00316D45" w:rsidRDefault="00AC00EA" w:rsidP="0029383F">
      <w:pPr>
        <w:autoSpaceDE w:val="0"/>
        <w:autoSpaceDN w:val="0"/>
        <w:adjustRightInd w:val="0"/>
        <w:ind w:firstLine="709"/>
        <w:jc w:val="both"/>
        <w:outlineLvl w:val="1"/>
      </w:pPr>
      <w:r>
        <w:t>Так</w:t>
      </w:r>
      <w:r w:rsidR="00354B1C">
        <w:t>,</w:t>
      </w:r>
      <w:r>
        <w:t xml:space="preserve"> по итогам </w:t>
      </w:r>
      <w:r w:rsidRPr="00316D45">
        <w:t>2018 год</w:t>
      </w:r>
      <w:r>
        <w:t>а</w:t>
      </w:r>
      <w:r w:rsidRPr="00316D45">
        <w:t xml:space="preserve"> сверхвязкой нефти добыто 1949 тыс. тонн, что на 28,1</w:t>
      </w:r>
      <w:r w:rsidR="00C92061">
        <w:t xml:space="preserve"> процента </w:t>
      </w:r>
      <w:r w:rsidRPr="00316D45">
        <w:t>больше запланированного</w:t>
      </w:r>
      <w:r w:rsidR="00210BF0">
        <w:t xml:space="preserve"> показателя, зафиксированного в </w:t>
      </w:r>
      <w:r w:rsidR="0029383F">
        <w:t>р</w:t>
      </w:r>
      <w:r w:rsidR="00210BF0">
        <w:t xml:space="preserve">анее утвержденной версии Стратегии развития </w:t>
      </w:r>
      <w:r w:rsidR="00210BF0" w:rsidRPr="002C5923">
        <w:t>топливно-энергетического ко</w:t>
      </w:r>
      <w:r w:rsidR="00210BF0">
        <w:t xml:space="preserve">мплекса Республики Татарстан на период </w:t>
      </w:r>
      <w:r w:rsidR="00210BF0" w:rsidRPr="002C5923">
        <w:t>20</w:t>
      </w:r>
      <w:r w:rsidR="00210BF0">
        <w:t>30 года</w:t>
      </w:r>
      <w:r w:rsidRPr="00316D45">
        <w:t xml:space="preserve">. </w:t>
      </w:r>
      <w:r w:rsidR="00210BF0">
        <w:t>В целом</w:t>
      </w:r>
      <w:r w:rsidR="00354B1C">
        <w:t>,</w:t>
      </w:r>
      <w:r w:rsidR="00210BF0">
        <w:t xml:space="preserve"> с</w:t>
      </w:r>
      <w:r w:rsidRPr="00316D45">
        <w:t xml:space="preserve"> начала реализации проекта </w:t>
      </w:r>
      <w:r w:rsidR="00210BF0">
        <w:t xml:space="preserve">накопленный </w:t>
      </w:r>
      <w:r w:rsidRPr="00316D45">
        <w:t xml:space="preserve">объем добычи </w:t>
      </w:r>
      <w:r w:rsidR="00210BF0">
        <w:t xml:space="preserve">СВН </w:t>
      </w:r>
      <w:r w:rsidRPr="00316D45">
        <w:t>составил 5 млн</w:t>
      </w:r>
      <w:r w:rsidR="0029383F">
        <w:t>.</w:t>
      </w:r>
      <w:r w:rsidRPr="00316D45">
        <w:t xml:space="preserve"> тонн. К концу 2018 года интенсивность извлечения СВН составила 5 тысяч 600 тонн нефти в сутки.</w:t>
      </w:r>
    </w:p>
    <w:p w:rsidR="00580C49" w:rsidRDefault="00580C49" w:rsidP="0029383F">
      <w:pPr>
        <w:autoSpaceDE w:val="0"/>
        <w:autoSpaceDN w:val="0"/>
        <w:adjustRightInd w:val="0"/>
        <w:ind w:firstLine="709"/>
        <w:jc w:val="both"/>
        <w:outlineLvl w:val="1"/>
      </w:pPr>
      <w:r w:rsidRPr="002C5923">
        <w:t xml:space="preserve">Кроме того, объемы глубокого поисково-разведочного бурения и прироста запасов нефти, предусмотренные Стратегией, не соответствуют фактически достигнутым, </w:t>
      </w:r>
      <w:r w:rsidR="001A0545" w:rsidRPr="002C5923">
        <w:t>также,</w:t>
      </w:r>
      <w:r w:rsidRPr="002C5923">
        <w:t xml:space="preserve"> как и объемы эксплуатационного бурения. </w:t>
      </w:r>
      <w:r w:rsidR="0006019C">
        <w:t>Д</w:t>
      </w:r>
      <w:r w:rsidRPr="002C5923">
        <w:t>обыча нефти превышает запланированный уровень</w:t>
      </w:r>
      <w:r w:rsidR="0006019C">
        <w:t>.</w:t>
      </w:r>
      <w:r w:rsidRPr="002C5923">
        <w:t xml:space="preserve"> </w:t>
      </w:r>
    </w:p>
    <w:p w:rsidR="00737981" w:rsidRDefault="00737981" w:rsidP="0029383F">
      <w:pPr>
        <w:ind w:firstLine="709"/>
        <w:jc w:val="both"/>
      </w:pPr>
      <w:r>
        <w:t>Необходимость актуализации Стратегии также связана с принятием</w:t>
      </w:r>
      <w:r w:rsidR="0029383F">
        <w:br/>
      </w:r>
      <w:r>
        <w:t xml:space="preserve">ГК «Татнефть» Стратегии </w:t>
      </w:r>
      <w:r w:rsidR="0006019C">
        <w:t xml:space="preserve">развития Группы </w:t>
      </w:r>
      <w:r w:rsidR="00474951">
        <w:t>«Татнефть» до 2030 года, которая предполагает отказ от политики стабилизации нефтедобычи и переход к реализации политики обеспечения ее роста.</w:t>
      </w:r>
      <w:r>
        <w:t xml:space="preserve"> </w:t>
      </w:r>
      <w:r w:rsidR="001959AE">
        <w:t xml:space="preserve">Предполагается увеличение нефтедобычи за счет увеличения темпов отбора и большей монетизации запасов углеводородного сырья наряду </w:t>
      </w:r>
      <w:r w:rsidR="001B3F3F">
        <w:t>со 100-процентным воспроизводством запасов. Это позволит сохранить</w:t>
      </w:r>
      <w:r w:rsidR="0029383F">
        <w:br/>
      </w:r>
      <w:r w:rsidR="001B3F3F">
        <w:t>по ГК «Татнефть» уровень обеспеченности добычи разведанными запасами разрабатываемых месторождений на уровне 30 и более лет.</w:t>
      </w:r>
    </w:p>
    <w:p w:rsidR="00737981" w:rsidRDefault="00737981" w:rsidP="0029383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Ключевыми параметрами Стратегии компании «Татнефть» являются: </w:t>
      </w:r>
    </w:p>
    <w:p w:rsidR="00737981" w:rsidRDefault="004E2175" w:rsidP="0029383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темпа среднегодового роста добычи 2,2%, </w:t>
      </w:r>
      <w:r w:rsidR="00737981">
        <w:rPr>
          <w:sz w:val="28"/>
          <w:szCs w:val="28"/>
        </w:rPr>
        <w:t xml:space="preserve">увеличение ПАО «Татнефть» добычи нефти </w:t>
      </w:r>
      <w:r w:rsidR="003D600F">
        <w:rPr>
          <w:sz w:val="28"/>
          <w:szCs w:val="28"/>
        </w:rPr>
        <w:t xml:space="preserve">в Республике Татарстан </w:t>
      </w:r>
      <w:r w:rsidR="00737981" w:rsidRPr="00A72E74">
        <w:rPr>
          <w:sz w:val="28"/>
          <w:szCs w:val="28"/>
        </w:rPr>
        <w:t>до 3</w:t>
      </w:r>
      <w:r w:rsidR="006D34F5" w:rsidRPr="00A72E74">
        <w:rPr>
          <w:sz w:val="28"/>
          <w:szCs w:val="28"/>
        </w:rPr>
        <w:t>3</w:t>
      </w:r>
      <w:r w:rsidR="00737981" w:rsidRPr="00A72E74">
        <w:rPr>
          <w:sz w:val="28"/>
          <w:szCs w:val="28"/>
        </w:rPr>
        <w:t>,</w:t>
      </w:r>
      <w:r w:rsidR="006D34F5" w:rsidRPr="00A72E74">
        <w:rPr>
          <w:sz w:val="28"/>
          <w:szCs w:val="28"/>
        </w:rPr>
        <w:t>27</w:t>
      </w:r>
      <w:r w:rsidR="00737981">
        <w:rPr>
          <w:sz w:val="28"/>
          <w:szCs w:val="28"/>
        </w:rPr>
        <w:t xml:space="preserve"> млн тонн в год</w:t>
      </w:r>
      <w:r w:rsidR="004127C6">
        <w:rPr>
          <w:sz w:val="28"/>
          <w:szCs w:val="28"/>
        </w:rPr>
        <w:t xml:space="preserve">, по Группе компаний «Татнефть» до 38,4 млн. тонн </w:t>
      </w:r>
      <w:r w:rsidR="00737981">
        <w:rPr>
          <w:sz w:val="28"/>
          <w:szCs w:val="28"/>
        </w:rPr>
        <w:t>к 20</w:t>
      </w:r>
      <w:r w:rsidR="006D34F5">
        <w:rPr>
          <w:sz w:val="28"/>
          <w:szCs w:val="28"/>
        </w:rPr>
        <w:t>30</w:t>
      </w:r>
      <w:r w:rsidR="002607E5">
        <w:rPr>
          <w:sz w:val="28"/>
          <w:szCs w:val="28"/>
        </w:rPr>
        <w:t xml:space="preserve"> году, </w:t>
      </w:r>
      <w:r w:rsidR="00737981" w:rsidRPr="00283DAD">
        <w:rPr>
          <w:color w:val="auto"/>
          <w:sz w:val="28"/>
          <w:szCs w:val="28"/>
        </w:rPr>
        <w:t>при стопроцентном восполнении запасов;</w:t>
      </w:r>
    </w:p>
    <w:p w:rsidR="003D600F" w:rsidRDefault="003D600F" w:rsidP="0029383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переработка до 15,3 млн. тонн нефти, выход светлых нефтепродуктов 89%;</w:t>
      </w:r>
    </w:p>
    <w:p w:rsidR="00737981" w:rsidRDefault="00737981" w:rsidP="0029383F">
      <w:pPr>
        <w:pStyle w:val="Default"/>
        <w:ind w:firstLine="709"/>
        <w:jc w:val="both"/>
        <w:rPr>
          <w:sz w:val="28"/>
          <w:szCs w:val="28"/>
        </w:rPr>
      </w:pPr>
      <w:r w:rsidRPr="00590F66">
        <w:rPr>
          <w:sz w:val="28"/>
          <w:szCs w:val="28"/>
        </w:rPr>
        <w:t>развитие газонефтехимического направления;</w:t>
      </w:r>
    </w:p>
    <w:p w:rsidR="000A425F" w:rsidRDefault="000A425F" w:rsidP="0029383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 эффективности, клиентоориентированности розничной сети, улучшение маржинальности, в том числе за счет сопутствующего сервиса;</w:t>
      </w:r>
    </w:p>
    <w:p w:rsidR="000A425F" w:rsidRPr="00590F66" w:rsidRDefault="000A425F" w:rsidP="0029383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увеличение к 2030 году до 22% рыночной доли шинного бизнеса ГК «Татнефть» за счет </w:t>
      </w:r>
      <w:r w:rsidR="00122BD5">
        <w:rPr>
          <w:sz w:val="28"/>
          <w:szCs w:val="28"/>
        </w:rPr>
        <w:t>развития в</w:t>
      </w:r>
      <w:r>
        <w:rPr>
          <w:sz w:val="28"/>
          <w:szCs w:val="28"/>
        </w:rPr>
        <w:t xml:space="preserve"> перспективных сегментах;</w:t>
      </w:r>
    </w:p>
    <w:p w:rsidR="00737981" w:rsidRDefault="00737981" w:rsidP="0029383F">
      <w:pPr>
        <w:pStyle w:val="Default"/>
        <w:ind w:firstLine="709"/>
        <w:jc w:val="both"/>
        <w:rPr>
          <w:sz w:val="28"/>
          <w:szCs w:val="28"/>
        </w:rPr>
      </w:pPr>
      <w:r w:rsidRPr="00590F66">
        <w:rPr>
          <w:sz w:val="28"/>
          <w:szCs w:val="28"/>
        </w:rPr>
        <w:t>развитие собственного энергетического комплекса</w:t>
      </w:r>
      <w:r>
        <w:rPr>
          <w:sz w:val="28"/>
          <w:szCs w:val="28"/>
        </w:rPr>
        <w:t>;</w:t>
      </w:r>
    </w:p>
    <w:p w:rsidR="0086694C" w:rsidRDefault="0086694C" w:rsidP="0029383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создание высокоэффективного банка ГК «Татнефть» с высокой рыночной стоимостью.</w:t>
      </w:r>
    </w:p>
    <w:p w:rsidR="00AC00EA" w:rsidRPr="00316D45" w:rsidRDefault="00AC00EA" w:rsidP="0029383F">
      <w:pPr>
        <w:ind w:firstLine="709"/>
        <w:jc w:val="both"/>
      </w:pPr>
      <w:r>
        <w:t xml:space="preserve">В </w:t>
      </w:r>
      <w:r w:rsidR="003F4FCD">
        <w:t>нефтеперерабатывающей промышленности</w:t>
      </w:r>
      <w:r>
        <w:t xml:space="preserve"> с</w:t>
      </w:r>
      <w:r w:rsidRPr="00316D45">
        <w:t xml:space="preserve"> вводом на АО «ТАНЕКО соответствующих установок глубина переработки доведена до 99 % и обеспечен выход светлых нефтепродуктов на уровне 84 %.</w:t>
      </w:r>
      <w:r>
        <w:t xml:space="preserve"> </w:t>
      </w:r>
    </w:p>
    <w:p w:rsidR="000C41C5" w:rsidRPr="000C41C5" w:rsidRDefault="000C41C5" w:rsidP="0029383F">
      <w:pPr>
        <w:pStyle w:val="af3"/>
        <w:tabs>
          <w:tab w:val="left" w:pos="0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C41C5">
        <w:rPr>
          <w:sz w:val="28"/>
          <w:szCs w:val="28"/>
        </w:rPr>
        <w:t xml:space="preserve">Необходимость актуализации Стратегии также связана с основными тенденциями развития и изменениями, произошедшими в энергетической отрасли Республики Татарстан за последние 5 лет. В частности, данные изменения касаются структуры совокупной установленной мощности объектов генерации, объемов выработки электрической и тепловой энергии с учетом введённых/выведенных энергетических мощностей. </w:t>
      </w:r>
    </w:p>
    <w:p w:rsidR="000C41C5" w:rsidRPr="00C92061" w:rsidRDefault="000C41C5" w:rsidP="0029383F">
      <w:pPr>
        <w:pStyle w:val="af3"/>
        <w:tabs>
          <w:tab w:val="left" w:pos="0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92061">
        <w:rPr>
          <w:sz w:val="28"/>
          <w:szCs w:val="28"/>
        </w:rPr>
        <w:t>Износ и моральное старение генерирующих мощностей и объектов энергетики на фоне массового строительства новых генерирующих мощностей по программе ДПМ (договора предоставления мощности) за пределами республики приводят к снижению конкурентоспособности энергетических компаний Татарстана на оптовом рынке электроэнергии и мощности, необходимости вывода из эксплуатации старых неэффективных станций. Так, с 1 мая 2017 года ввиду неконкурентоспособности станции на оптовом рынке электроэнергии и мощности ЗАО «ТГК «Урусссинская ГРЭС» прекратило свою производственную деятельность.</w:t>
      </w:r>
    </w:p>
    <w:p w:rsidR="000C41C5" w:rsidRPr="00C92061" w:rsidRDefault="000C41C5" w:rsidP="0029383F">
      <w:pPr>
        <w:ind w:firstLine="709"/>
        <w:jc w:val="both"/>
      </w:pPr>
      <w:r w:rsidRPr="00C92061">
        <w:t>Поэтому для надежного снабжения потребителей республики электрической и тепловой энергией, повышения конкурентоспособности и обеспечения устойчивого развития энергетической отрасли первостепенное значение имеет модернизация производственных объектов энергосистемы на основе передовых современных технологий.</w:t>
      </w:r>
    </w:p>
    <w:p w:rsidR="000C41C5" w:rsidRPr="00C92061" w:rsidRDefault="000C41C5" w:rsidP="0029383F">
      <w:pPr>
        <w:ind w:firstLine="709"/>
        <w:jc w:val="both"/>
      </w:pPr>
      <w:r w:rsidRPr="00C92061">
        <w:t>В июне 2017 года был завершен проект по вводу новых мощностей на Казанской ТЭЦ-3 ОАО «ТГК-16» (ГТУ мощностью 388,</w:t>
      </w:r>
      <w:r w:rsidR="00122BD5" w:rsidRPr="00C92061">
        <w:t>6 МВт</w:t>
      </w:r>
      <w:r w:rsidRPr="00C92061">
        <w:t xml:space="preserve">), направленный на повышение надежности электроснабжения ПАО «Казаньоргсинтез» и в целом потребителей Казанского энергорайона. </w:t>
      </w:r>
    </w:p>
    <w:p w:rsidR="000C41C5" w:rsidRPr="00C92061" w:rsidRDefault="000C41C5" w:rsidP="0029383F">
      <w:pPr>
        <w:ind w:firstLine="709"/>
        <w:jc w:val="both"/>
      </w:pPr>
      <w:r w:rsidRPr="00C92061">
        <w:t xml:space="preserve">В 2018 году был завершен проект модернизации Казанской ТЭЦ-1 </w:t>
      </w:r>
      <w:r w:rsidRPr="00C92061">
        <w:br/>
        <w:t xml:space="preserve">АО «Татэнерго» путем строительства ПГУ, позволивший ввести дополнительные 246 МВт электрической мощности. </w:t>
      </w:r>
    </w:p>
    <w:p w:rsidR="000C41C5" w:rsidRPr="00C92061" w:rsidRDefault="000C41C5" w:rsidP="0029383F">
      <w:pPr>
        <w:ind w:firstLine="709"/>
        <w:jc w:val="both"/>
      </w:pPr>
      <w:r w:rsidRPr="00C92061">
        <w:t xml:space="preserve">Кроме того, ежегодно и в электросетевом хозяйстве Республики Татарстан также ведется работа по реконструкции и строительству новых объектов. </w:t>
      </w:r>
    </w:p>
    <w:p w:rsidR="000C41C5" w:rsidRPr="00C92061" w:rsidRDefault="000C41C5" w:rsidP="0029383F">
      <w:pPr>
        <w:ind w:firstLine="709"/>
        <w:jc w:val="both"/>
      </w:pPr>
      <w:r w:rsidRPr="00C92061">
        <w:t>В частности, за последние два года были введены в эксплуатацию ВЛ 220 кВ Щелоков –</w:t>
      </w:r>
      <w:r w:rsidR="00CB0B24" w:rsidRPr="00C92061">
        <w:t xml:space="preserve"> </w:t>
      </w:r>
      <w:r w:rsidRPr="00C92061">
        <w:t xml:space="preserve">Центральная протяженностью в 230 км, новая подстанция 110 кВ Юбилейная. Кроме того, введена в эксплуатацию после комплексной реконструкции ПС 110 кВ «Южная» и др. </w:t>
      </w:r>
    </w:p>
    <w:p w:rsidR="000C41C5" w:rsidRPr="00C92061" w:rsidRDefault="000C41C5" w:rsidP="0029383F">
      <w:pPr>
        <w:ind w:firstLine="709"/>
        <w:jc w:val="both"/>
      </w:pPr>
      <w:r w:rsidRPr="00C92061">
        <w:t xml:space="preserve">В Республике Татарстан наряду с традиционными источниками энергии прорабатывается вопрос по развитию возобновляемой энергетики, в т.ч. на основе энергии ветра. В настоящее время согласно поручению Президента Республики Татарстан Р.Н. Минниханова ведется работа по реализации проекта по строительству ветроэнергетических станций. Успешная реализация данного проекта </w:t>
      </w:r>
      <w:r w:rsidRPr="00C92061">
        <w:lastRenderedPageBreak/>
        <w:t>позволит республике увеличить обеспеченность собственными энергоресурсами и сократить объем перетоков из других энергосистем.</w:t>
      </w:r>
    </w:p>
    <w:p w:rsidR="00976090" w:rsidRPr="00C92061" w:rsidRDefault="00976090" w:rsidP="0029383F">
      <w:pPr>
        <w:shd w:val="clear" w:color="auto" w:fill="FFFFFF"/>
        <w:ind w:firstLine="709"/>
        <w:jc w:val="both"/>
      </w:pPr>
      <w:r w:rsidRPr="00C92061">
        <w:t>В газовой отрасли стратегической целью остается надежное обеспечение населения, промышленных предприятий, объектов энергетики и жилищно-коммунального хозяйства природным газом.</w:t>
      </w:r>
    </w:p>
    <w:p w:rsidR="00976090" w:rsidRPr="00C92061" w:rsidRDefault="00976090" w:rsidP="0029383F">
      <w:pPr>
        <w:shd w:val="clear" w:color="auto" w:fill="FFFFFF"/>
        <w:ind w:firstLine="709"/>
        <w:jc w:val="both"/>
        <w:rPr>
          <w:rFonts w:eastAsia="Calibri"/>
          <w:bCs/>
          <w:lang w:eastAsia="en-US"/>
        </w:rPr>
      </w:pPr>
      <w:r w:rsidRPr="00C92061">
        <w:t xml:space="preserve">Принимая во внимание значительные объемы потребления природного газа, постоянный рост цен на него, увеличение числа участников газового рынка, в Республике Татарстан придается большое значение проблемам эффективного использования природного газа. </w:t>
      </w:r>
      <w:r w:rsidR="003752C1" w:rsidRPr="00C92061">
        <w:t>Также реализуются новые направления развития в газовой отрасли, т</w:t>
      </w:r>
      <w:r w:rsidRPr="00C92061">
        <w:t>ак в</w:t>
      </w:r>
      <w:r w:rsidRPr="00C92061">
        <w:rPr>
          <w:rFonts w:eastAsia="Calibri"/>
          <w:bCs/>
          <w:lang w:eastAsia="en-US"/>
        </w:rPr>
        <w:t xml:space="preserve"> раздел «Использование газомоторного топлива в Республике Татарстан» добавлен подраздел «Развитие рынка сжиженного природного газа в качестве газомоторного топлива в Республике Татарстан».</w:t>
      </w:r>
    </w:p>
    <w:p w:rsidR="00580C49" w:rsidRPr="00C92061" w:rsidRDefault="00580C49" w:rsidP="0029383F">
      <w:pPr>
        <w:ind w:firstLine="709"/>
        <w:jc w:val="both"/>
      </w:pPr>
      <w:r w:rsidRPr="00C92061">
        <w:t>На уровне Российской Федерации тенденции и пер</w:t>
      </w:r>
      <w:r w:rsidR="00AC00EA" w:rsidRPr="00C92061">
        <w:t>спективы развития определены в</w:t>
      </w:r>
      <w:r w:rsidRPr="00C92061">
        <w:t xml:space="preserve"> Энергетической стратегии России на период до 203</w:t>
      </w:r>
      <w:r w:rsidR="00AC00EA" w:rsidRPr="00C92061">
        <w:t>0</w:t>
      </w:r>
      <w:r w:rsidRPr="00C92061">
        <w:t xml:space="preserve"> года. Система реализации стратегии предусматривает опережающий мониторинг для сопоставления фактических и ожидаемых результатов осуществления прогнозных и фактических показателей развития топливно-энергетического комплекса, в целях ее последующей актуализации, при сохранении главной целевой направленности. </w:t>
      </w:r>
    </w:p>
    <w:p w:rsidR="00AC00EA" w:rsidRDefault="003F4FCD" w:rsidP="0029383F">
      <w:pPr>
        <w:ind w:firstLine="709"/>
        <w:jc w:val="both"/>
      </w:pPr>
      <w:r w:rsidRPr="003F4FCD">
        <w:t>В связи с изложенным законопроектом актуализиру</w:t>
      </w:r>
      <w:r w:rsidR="003745B8">
        <w:t>ю</w:t>
      </w:r>
      <w:r w:rsidRPr="003F4FCD">
        <w:t xml:space="preserve">тся </w:t>
      </w:r>
      <w:r w:rsidR="003745B8">
        <w:t>инвестиционные проекты</w:t>
      </w:r>
      <w:r w:rsidR="00EE7BFD">
        <w:t xml:space="preserve"> предприятий</w:t>
      </w:r>
      <w:r w:rsidR="003745B8">
        <w:t>, прогнозы</w:t>
      </w:r>
      <w:r w:rsidR="003A69A8">
        <w:t xml:space="preserve"> и перспективы</w:t>
      </w:r>
      <w:r w:rsidR="003745B8">
        <w:t xml:space="preserve"> развития отраслей ТЭК, индикаторы результатов реализации Стратегии. </w:t>
      </w:r>
    </w:p>
    <w:p w:rsidR="00C92061" w:rsidRDefault="00C92061" w:rsidP="001373F3">
      <w:pPr>
        <w:ind w:firstLine="539"/>
        <w:jc w:val="both"/>
        <w:rPr>
          <w:b/>
        </w:rPr>
      </w:pPr>
    </w:p>
    <w:p w:rsidR="007A739B" w:rsidRDefault="00FB6339" w:rsidP="007A739B">
      <w:pPr>
        <w:spacing w:after="1"/>
        <w:jc w:val="center"/>
      </w:pPr>
      <w:r w:rsidRPr="00C92061">
        <w:t>Сравнительная таблица</w:t>
      </w:r>
    </w:p>
    <w:p w:rsidR="009F25F2" w:rsidRDefault="00FB6339" w:rsidP="007A739B">
      <w:pPr>
        <w:spacing w:after="1"/>
        <w:jc w:val="center"/>
      </w:pPr>
      <w:r w:rsidRPr="00C92061">
        <w:t xml:space="preserve">индикаторов </w:t>
      </w:r>
      <w:r w:rsidR="009F25F2" w:rsidRPr="00C92061">
        <w:t>результат</w:t>
      </w:r>
      <w:r w:rsidRPr="00C92061">
        <w:t>ов</w:t>
      </w:r>
      <w:r w:rsidR="009F25F2" w:rsidRPr="00C92061">
        <w:t xml:space="preserve"> реализации </w:t>
      </w:r>
      <w:r w:rsidRPr="00C92061">
        <w:t xml:space="preserve">Стратегии </w:t>
      </w:r>
      <w:r w:rsidR="00CE0056" w:rsidRPr="002C5923">
        <w:t>развития топливно-энергетического ко</w:t>
      </w:r>
      <w:r w:rsidR="00CE0056">
        <w:t>мплекса</w:t>
      </w:r>
      <w:r w:rsidR="007A739B">
        <w:t xml:space="preserve"> Республики Татарстан на период до </w:t>
      </w:r>
      <w:r w:rsidR="00CE0056" w:rsidRPr="002C5923">
        <w:t>20</w:t>
      </w:r>
      <w:r w:rsidR="00CE0056">
        <w:t>30 года</w:t>
      </w:r>
    </w:p>
    <w:p w:rsidR="007A739B" w:rsidRDefault="007A739B" w:rsidP="007A739B">
      <w:pPr>
        <w:spacing w:after="1"/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94"/>
        <w:gridCol w:w="3345"/>
        <w:gridCol w:w="3327"/>
        <w:gridCol w:w="3155"/>
      </w:tblGrid>
      <w:tr w:rsidR="007A739B" w:rsidTr="007A739B">
        <w:tc>
          <w:tcPr>
            <w:tcW w:w="540" w:type="dxa"/>
          </w:tcPr>
          <w:p w:rsidR="007A739B" w:rsidRPr="007A739B" w:rsidRDefault="007A739B" w:rsidP="007A739B">
            <w:pPr>
              <w:spacing w:after="1"/>
              <w:jc w:val="center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№ п/п</w:t>
            </w:r>
          </w:p>
        </w:tc>
        <w:tc>
          <w:tcPr>
            <w:tcW w:w="3351" w:type="dxa"/>
            <w:vAlign w:val="center"/>
          </w:tcPr>
          <w:p w:rsidR="007A739B" w:rsidRPr="007A739B" w:rsidRDefault="007A739B" w:rsidP="00607D2A">
            <w:pPr>
              <w:jc w:val="center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Наименование индикатора</w:t>
            </w:r>
          </w:p>
        </w:tc>
        <w:tc>
          <w:tcPr>
            <w:tcW w:w="3352" w:type="dxa"/>
            <w:vAlign w:val="center"/>
          </w:tcPr>
          <w:p w:rsidR="00ED721F" w:rsidRDefault="007A739B" w:rsidP="007A739B">
            <w:pPr>
              <w:jc w:val="center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Значение индикатора Стратегии</w:t>
            </w:r>
          </w:p>
          <w:p w:rsidR="007A739B" w:rsidRPr="007A739B" w:rsidRDefault="007A739B" w:rsidP="007A739B">
            <w:pPr>
              <w:jc w:val="center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(старая редакция)</w:t>
            </w:r>
          </w:p>
        </w:tc>
        <w:tc>
          <w:tcPr>
            <w:tcW w:w="3178" w:type="dxa"/>
            <w:vAlign w:val="center"/>
          </w:tcPr>
          <w:p w:rsidR="00ED721F" w:rsidRDefault="007A739B" w:rsidP="00ED721F">
            <w:pPr>
              <w:jc w:val="center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Значение индикатора Стратегии</w:t>
            </w:r>
          </w:p>
          <w:p w:rsidR="007A739B" w:rsidRPr="007A739B" w:rsidRDefault="007A739B" w:rsidP="00ED721F">
            <w:pPr>
              <w:jc w:val="center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(новая редакция)</w:t>
            </w:r>
          </w:p>
        </w:tc>
      </w:tr>
      <w:tr w:rsidR="007A739B" w:rsidTr="007A739B">
        <w:tc>
          <w:tcPr>
            <w:tcW w:w="540" w:type="dxa"/>
          </w:tcPr>
          <w:p w:rsidR="007A739B" w:rsidRPr="007A739B" w:rsidRDefault="007A739B" w:rsidP="007A739B">
            <w:pPr>
              <w:spacing w:after="1"/>
              <w:jc w:val="center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1</w:t>
            </w:r>
          </w:p>
        </w:tc>
        <w:tc>
          <w:tcPr>
            <w:tcW w:w="3351" w:type="dxa"/>
          </w:tcPr>
          <w:p w:rsidR="007A739B" w:rsidRPr="007A739B" w:rsidRDefault="007A739B" w:rsidP="00C5317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A739B">
              <w:rPr>
                <w:rFonts w:ascii="Times New Roman" w:hAnsi="Times New Roman" w:cs="Times New Roman"/>
                <w:sz w:val="28"/>
                <w:szCs w:val="28"/>
              </w:rPr>
              <w:t xml:space="preserve">Добыча нефти, млн. тонн. </w:t>
            </w:r>
          </w:p>
        </w:tc>
        <w:tc>
          <w:tcPr>
            <w:tcW w:w="3352" w:type="dxa"/>
          </w:tcPr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 xml:space="preserve">2018 г. – 33,5 </w:t>
            </w:r>
          </w:p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 xml:space="preserve">2020 г. – 33,5 </w:t>
            </w:r>
          </w:p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 xml:space="preserve">2025 г. – 33,5 </w:t>
            </w:r>
          </w:p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 xml:space="preserve">2030 г. – 33,057 </w:t>
            </w:r>
          </w:p>
        </w:tc>
        <w:tc>
          <w:tcPr>
            <w:tcW w:w="3178" w:type="dxa"/>
          </w:tcPr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2018 г. – 36,4</w:t>
            </w:r>
          </w:p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2020 г. – 39,3</w:t>
            </w:r>
          </w:p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2025 г. – 42,1</w:t>
            </w:r>
          </w:p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2030 г. – 39,328</w:t>
            </w:r>
          </w:p>
        </w:tc>
      </w:tr>
      <w:tr w:rsidR="007A739B" w:rsidTr="007A739B">
        <w:tc>
          <w:tcPr>
            <w:tcW w:w="540" w:type="dxa"/>
          </w:tcPr>
          <w:p w:rsidR="007A739B" w:rsidRPr="007A739B" w:rsidRDefault="007A739B" w:rsidP="007A739B">
            <w:pPr>
              <w:spacing w:after="1"/>
              <w:jc w:val="center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2</w:t>
            </w:r>
          </w:p>
        </w:tc>
        <w:tc>
          <w:tcPr>
            <w:tcW w:w="3351" w:type="dxa"/>
          </w:tcPr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Эксплуатационное бурение, тыс. м в год</w:t>
            </w:r>
          </w:p>
        </w:tc>
        <w:tc>
          <w:tcPr>
            <w:tcW w:w="3352" w:type="dxa"/>
          </w:tcPr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2018 г. – 925</w:t>
            </w:r>
          </w:p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 xml:space="preserve">2020 г. – 887 </w:t>
            </w:r>
          </w:p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 xml:space="preserve">2025 г. – 703 </w:t>
            </w:r>
          </w:p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 xml:space="preserve">2030 г. –701 </w:t>
            </w:r>
          </w:p>
        </w:tc>
        <w:tc>
          <w:tcPr>
            <w:tcW w:w="3178" w:type="dxa"/>
          </w:tcPr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2018 г. –  911</w:t>
            </w:r>
          </w:p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2020 г. –  1744</w:t>
            </w:r>
          </w:p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2025 г. – 1551</w:t>
            </w:r>
          </w:p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2030 г. – 864</w:t>
            </w:r>
          </w:p>
        </w:tc>
      </w:tr>
      <w:tr w:rsidR="007A739B" w:rsidTr="007A739B">
        <w:tc>
          <w:tcPr>
            <w:tcW w:w="540" w:type="dxa"/>
          </w:tcPr>
          <w:p w:rsidR="007A739B" w:rsidRPr="007A739B" w:rsidRDefault="007A739B" w:rsidP="007A739B">
            <w:pPr>
              <w:spacing w:after="1"/>
              <w:jc w:val="center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3</w:t>
            </w:r>
          </w:p>
        </w:tc>
        <w:tc>
          <w:tcPr>
            <w:tcW w:w="3351" w:type="dxa"/>
          </w:tcPr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Поисково-разведочное бурение, тыс. м в год</w:t>
            </w:r>
          </w:p>
        </w:tc>
        <w:tc>
          <w:tcPr>
            <w:tcW w:w="3352" w:type="dxa"/>
          </w:tcPr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2018 г. – 50</w:t>
            </w:r>
          </w:p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2020 г. – 55</w:t>
            </w:r>
          </w:p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2025 г. – 55</w:t>
            </w:r>
          </w:p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2030 г. – 55</w:t>
            </w:r>
          </w:p>
        </w:tc>
        <w:tc>
          <w:tcPr>
            <w:tcW w:w="3178" w:type="dxa"/>
          </w:tcPr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2018 г. – 30,1</w:t>
            </w:r>
          </w:p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2020 г. – 25,9</w:t>
            </w:r>
          </w:p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2025 г. – 24,4</w:t>
            </w:r>
          </w:p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2030 г. – 18</w:t>
            </w:r>
          </w:p>
        </w:tc>
      </w:tr>
      <w:tr w:rsidR="007A739B" w:rsidTr="007A739B">
        <w:tc>
          <w:tcPr>
            <w:tcW w:w="540" w:type="dxa"/>
          </w:tcPr>
          <w:p w:rsidR="007A739B" w:rsidRPr="007A739B" w:rsidRDefault="007A739B" w:rsidP="007A739B">
            <w:pPr>
              <w:spacing w:after="1"/>
              <w:jc w:val="center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4</w:t>
            </w:r>
          </w:p>
        </w:tc>
        <w:tc>
          <w:tcPr>
            <w:tcW w:w="3351" w:type="dxa"/>
          </w:tcPr>
          <w:p w:rsidR="007A739B" w:rsidRPr="007A739B" w:rsidRDefault="007A739B" w:rsidP="007A739B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Объем перерабатываемой нефти, млн тонн</w:t>
            </w:r>
          </w:p>
        </w:tc>
        <w:tc>
          <w:tcPr>
            <w:tcW w:w="3352" w:type="dxa"/>
          </w:tcPr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</w:p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2020 г. – 21,4</w:t>
            </w:r>
          </w:p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 xml:space="preserve">2025 г. – 21,4 </w:t>
            </w:r>
          </w:p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2030 г. – 21,4</w:t>
            </w:r>
          </w:p>
        </w:tc>
        <w:tc>
          <w:tcPr>
            <w:tcW w:w="3178" w:type="dxa"/>
          </w:tcPr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2018 г. – 17,1</w:t>
            </w:r>
          </w:p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2020 г. – 20,2</w:t>
            </w:r>
          </w:p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2025 г. –  20,2</w:t>
            </w:r>
          </w:p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2030 г. – 24</w:t>
            </w:r>
          </w:p>
        </w:tc>
      </w:tr>
      <w:tr w:rsidR="007A739B" w:rsidTr="007A739B">
        <w:tc>
          <w:tcPr>
            <w:tcW w:w="540" w:type="dxa"/>
          </w:tcPr>
          <w:p w:rsidR="007A739B" w:rsidRPr="007A739B" w:rsidRDefault="007A739B" w:rsidP="007A739B">
            <w:pPr>
              <w:spacing w:after="1"/>
              <w:jc w:val="center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3351" w:type="dxa"/>
          </w:tcPr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Глубина переработки нефти, %</w:t>
            </w:r>
          </w:p>
        </w:tc>
        <w:tc>
          <w:tcPr>
            <w:tcW w:w="3352" w:type="dxa"/>
          </w:tcPr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2020 г. – 95</w:t>
            </w:r>
          </w:p>
        </w:tc>
        <w:tc>
          <w:tcPr>
            <w:tcW w:w="3178" w:type="dxa"/>
          </w:tcPr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2020 г. – 95</w:t>
            </w:r>
          </w:p>
        </w:tc>
      </w:tr>
      <w:tr w:rsidR="007A739B" w:rsidTr="007A739B">
        <w:tc>
          <w:tcPr>
            <w:tcW w:w="540" w:type="dxa"/>
          </w:tcPr>
          <w:p w:rsidR="007A739B" w:rsidRPr="007A739B" w:rsidRDefault="007A739B" w:rsidP="007A739B">
            <w:pPr>
              <w:spacing w:after="1"/>
              <w:jc w:val="center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6</w:t>
            </w:r>
          </w:p>
        </w:tc>
        <w:tc>
          <w:tcPr>
            <w:tcW w:w="3351" w:type="dxa"/>
          </w:tcPr>
          <w:p w:rsidR="007A739B" w:rsidRPr="007A739B" w:rsidRDefault="007A739B" w:rsidP="007A739B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Выработка электрической энергии*, млн кВт*ч</w:t>
            </w:r>
          </w:p>
        </w:tc>
        <w:tc>
          <w:tcPr>
            <w:tcW w:w="3352" w:type="dxa"/>
          </w:tcPr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</w:p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2020 г. – 30 500</w:t>
            </w:r>
          </w:p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2025 г. – 32 529</w:t>
            </w:r>
          </w:p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2030 г. – 34 744</w:t>
            </w:r>
          </w:p>
        </w:tc>
        <w:tc>
          <w:tcPr>
            <w:tcW w:w="3178" w:type="dxa"/>
          </w:tcPr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2018 г. – 26 073</w:t>
            </w:r>
          </w:p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2020 г. – 28 001</w:t>
            </w:r>
          </w:p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2025 г. – 29 261</w:t>
            </w:r>
          </w:p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2030 г. – 30 578</w:t>
            </w:r>
          </w:p>
        </w:tc>
      </w:tr>
      <w:tr w:rsidR="007A739B" w:rsidTr="007A739B">
        <w:tc>
          <w:tcPr>
            <w:tcW w:w="540" w:type="dxa"/>
          </w:tcPr>
          <w:p w:rsidR="007A739B" w:rsidRPr="007A739B" w:rsidRDefault="007A739B" w:rsidP="007A739B">
            <w:pPr>
              <w:spacing w:after="1"/>
              <w:jc w:val="center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7</w:t>
            </w:r>
          </w:p>
        </w:tc>
        <w:tc>
          <w:tcPr>
            <w:tcW w:w="3351" w:type="dxa"/>
          </w:tcPr>
          <w:p w:rsidR="007A739B" w:rsidRPr="007A739B" w:rsidRDefault="007A739B" w:rsidP="007A739B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Выработка тепловой энергии**, млн Гкал</w:t>
            </w:r>
          </w:p>
        </w:tc>
        <w:tc>
          <w:tcPr>
            <w:tcW w:w="3352" w:type="dxa"/>
          </w:tcPr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</w:p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2020 г. – 48, 08</w:t>
            </w:r>
          </w:p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2025 г. – 48,192</w:t>
            </w:r>
          </w:p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2030 г. – 48,304</w:t>
            </w:r>
          </w:p>
        </w:tc>
        <w:tc>
          <w:tcPr>
            <w:tcW w:w="3178" w:type="dxa"/>
          </w:tcPr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2018 г. – 48,5</w:t>
            </w:r>
          </w:p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2020 г. – 49,8</w:t>
            </w:r>
          </w:p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2025 г. – 50,8</w:t>
            </w:r>
          </w:p>
          <w:p w:rsidR="007A739B" w:rsidRPr="007A739B" w:rsidRDefault="007A739B" w:rsidP="007A739B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2030 г. – 51,8</w:t>
            </w:r>
          </w:p>
        </w:tc>
      </w:tr>
      <w:tr w:rsidR="00ED721F" w:rsidTr="007A739B">
        <w:tc>
          <w:tcPr>
            <w:tcW w:w="540" w:type="dxa"/>
          </w:tcPr>
          <w:p w:rsidR="007A739B" w:rsidRPr="007A739B" w:rsidRDefault="007A739B" w:rsidP="007A739B">
            <w:pPr>
              <w:spacing w:after="1"/>
              <w:jc w:val="center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8</w:t>
            </w:r>
          </w:p>
        </w:tc>
        <w:tc>
          <w:tcPr>
            <w:tcW w:w="3351" w:type="dxa"/>
          </w:tcPr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Энергоэффективность, %</w:t>
            </w:r>
          </w:p>
        </w:tc>
        <w:tc>
          <w:tcPr>
            <w:tcW w:w="3352" w:type="dxa"/>
          </w:tcPr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</w:p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2020 г. – 40</w:t>
            </w:r>
          </w:p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2030 г. – 58</w:t>
            </w:r>
          </w:p>
        </w:tc>
        <w:tc>
          <w:tcPr>
            <w:tcW w:w="3178" w:type="dxa"/>
          </w:tcPr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 xml:space="preserve">2018 г. – 23,6 </w:t>
            </w:r>
          </w:p>
          <w:p w:rsidR="007A739B" w:rsidRPr="007A739B" w:rsidRDefault="007A739B" w:rsidP="00C5317F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2020 г. – 23,9</w:t>
            </w:r>
          </w:p>
          <w:p w:rsidR="007A739B" w:rsidRPr="007A739B" w:rsidRDefault="007A739B" w:rsidP="007A739B">
            <w:pPr>
              <w:jc w:val="both"/>
              <w:rPr>
                <w:rFonts w:ascii="Times New Roman" w:hAnsi="Times New Roman"/>
              </w:rPr>
            </w:pPr>
            <w:r w:rsidRPr="007A739B">
              <w:rPr>
                <w:rFonts w:ascii="Times New Roman" w:hAnsi="Times New Roman"/>
              </w:rPr>
              <w:t>2030 г. – 26,1</w:t>
            </w:r>
          </w:p>
        </w:tc>
      </w:tr>
    </w:tbl>
    <w:p w:rsidR="007A739B" w:rsidRPr="007A739B" w:rsidRDefault="007A739B" w:rsidP="0029383F">
      <w:pPr>
        <w:shd w:val="clear" w:color="auto" w:fill="FFFFFF"/>
        <w:jc w:val="both"/>
        <w:rPr>
          <w:sz w:val="24"/>
          <w:szCs w:val="24"/>
        </w:rPr>
      </w:pPr>
      <w:r w:rsidRPr="007A739B">
        <w:rPr>
          <w:sz w:val="24"/>
          <w:szCs w:val="24"/>
        </w:rPr>
        <w:t>_______________</w:t>
      </w:r>
    </w:p>
    <w:p w:rsidR="007A739B" w:rsidRPr="007A739B" w:rsidRDefault="007A739B" w:rsidP="0029383F">
      <w:pPr>
        <w:shd w:val="clear" w:color="auto" w:fill="FFFFFF"/>
        <w:jc w:val="both"/>
        <w:rPr>
          <w:rFonts w:eastAsia="Calibri"/>
          <w:bCs/>
          <w:sz w:val="24"/>
          <w:szCs w:val="24"/>
          <w:lang w:eastAsia="en-US"/>
        </w:rPr>
      </w:pPr>
    </w:p>
    <w:p w:rsidR="006C0CC7" w:rsidRPr="007A739B" w:rsidRDefault="0063358E" w:rsidP="0029383F">
      <w:pPr>
        <w:shd w:val="clear" w:color="auto" w:fill="FFFFFF"/>
        <w:jc w:val="both"/>
        <w:rPr>
          <w:rFonts w:eastAsia="Calibri"/>
          <w:bCs/>
          <w:sz w:val="24"/>
          <w:szCs w:val="24"/>
          <w:lang w:eastAsia="en-US"/>
        </w:rPr>
      </w:pPr>
      <w:r w:rsidRPr="007A739B">
        <w:rPr>
          <w:rFonts w:eastAsia="Calibri"/>
          <w:bCs/>
          <w:sz w:val="24"/>
          <w:szCs w:val="24"/>
          <w:lang w:eastAsia="en-US"/>
        </w:rPr>
        <w:t>*</w:t>
      </w:r>
      <w:r w:rsidR="007A739B">
        <w:rPr>
          <w:rFonts w:eastAsia="Calibri"/>
          <w:bCs/>
          <w:sz w:val="24"/>
          <w:szCs w:val="24"/>
          <w:lang w:eastAsia="en-US"/>
        </w:rPr>
        <w:t xml:space="preserve"> </w:t>
      </w:r>
      <w:r w:rsidRPr="007A739B">
        <w:rPr>
          <w:rFonts w:eastAsia="Calibri"/>
          <w:bCs/>
          <w:sz w:val="24"/>
          <w:szCs w:val="24"/>
          <w:lang w:eastAsia="en-US"/>
        </w:rPr>
        <w:t>данные</w:t>
      </w:r>
      <w:r w:rsidR="006C0CC7" w:rsidRPr="007A739B">
        <w:rPr>
          <w:rFonts w:eastAsia="Calibri"/>
          <w:bCs/>
          <w:sz w:val="24"/>
          <w:szCs w:val="24"/>
          <w:lang w:eastAsia="en-US"/>
        </w:rPr>
        <w:t xml:space="preserve"> крупны</w:t>
      </w:r>
      <w:r w:rsidRPr="007A739B">
        <w:rPr>
          <w:rFonts w:eastAsia="Calibri"/>
          <w:bCs/>
          <w:sz w:val="24"/>
          <w:szCs w:val="24"/>
          <w:lang w:eastAsia="en-US"/>
        </w:rPr>
        <w:t>х</w:t>
      </w:r>
      <w:r w:rsidR="006C0CC7" w:rsidRPr="007A739B">
        <w:rPr>
          <w:rFonts w:eastAsia="Calibri"/>
          <w:bCs/>
          <w:sz w:val="24"/>
          <w:szCs w:val="24"/>
          <w:lang w:eastAsia="en-US"/>
        </w:rPr>
        <w:t xml:space="preserve"> электростанци</w:t>
      </w:r>
      <w:r w:rsidRPr="007A739B">
        <w:rPr>
          <w:rFonts w:eastAsia="Calibri"/>
          <w:bCs/>
          <w:sz w:val="24"/>
          <w:szCs w:val="24"/>
          <w:lang w:eastAsia="en-US"/>
        </w:rPr>
        <w:t>й республики</w:t>
      </w:r>
    </w:p>
    <w:p w:rsidR="00393C8C" w:rsidRPr="007A739B" w:rsidRDefault="006C0CC7" w:rsidP="0029383F">
      <w:pPr>
        <w:shd w:val="clear" w:color="auto" w:fill="FFFFFF"/>
        <w:jc w:val="both"/>
        <w:rPr>
          <w:rFonts w:eastAsia="Calibri"/>
          <w:bCs/>
          <w:sz w:val="24"/>
          <w:szCs w:val="24"/>
          <w:lang w:eastAsia="en-US"/>
        </w:rPr>
      </w:pPr>
      <w:r w:rsidRPr="007A739B">
        <w:rPr>
          <w:rFonts w:eastAsia="Calibri"/>
          <w:bCs/>
          <w:sz w:val="24"/>
          <w:szCs w:val="24"/>
          <w:lang w:eastAsia="en-US"/>
        </w:rPr>
        <w:t>**</w:t>
      </w:r>
      <w:r w:rsidR="007A739B">
        <w:rPr>
          <w:rFonts w:eastAsia="Calibri"/>
          <w:bCs/>
          <w:sz w:val="24"/>
          <w:szCs w:val="24"/>
          <w:lang w:eastAsia="en-US"/>
        </w:rPr>
        <w:t xml:space="preserve"> </w:t>
      </w:r>
      <w:r w:rsidRPr="007A739B">
        <w:rPr>
          <w:rFonts w:eastAsia="Calibri"/>
          <w:bCs/>
          <w:sz w:val="24"/>
          <w:szCs w:val="24"/>
          <w:lang w:eastAsia="en-US"/>
        </w:rPr>
        <w:t>без учета со</w:t>
      </w:r>
      <w:r w:rsidR="007A739B">
        <w:rPr>
          <w:rFonts w:eastAsia="Calibri"/>
          <w:bCs/>
          <w:sz w:val="24"/>
          <w:szCs w:val="24"/>
          <w:lang w:eastAsia="en-US"/>
        </w:rPr>
        <w:t>бственных источников генераци</w:t>
      </w:r>
      <w:bookmarkStart w:id="0" w:name="_GoBack"/>
      <w:bookmarkEnd w:id="0"/>
      <w:r w:rsidR="007A739B">
        <w:rPr>
          <w:rFonts w:eastAsia="Calibri"/>
          <w:bCs/>
          <w:sz w:val="24"/>
          <w:szCs w:val="24"/>
          <w:lang w:eastAsia="en-US"/>
        </w:rPr>
        <w:t>и</w:t>
      </w:r>
    </w:p>
    <w:sectPr w:rsidR="00393C8C" w:rsidRPr="007A739B" w:rsidSect="001373F3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3E4" w:rsidRDefault="004E43E4" w:rsidP="00575589">
      <w:r>
        <w:separator/>
      </w:r>
    </w:p>
  </w:endnote>
  <w:endnote w:type="continuationSeparator" w:id="0">
    <w:p w:rsidR="004E43E4" w:rsidRDefault="004E43E4" w:rsidP="00575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3E4" w:rsidRDefault="004E43E4" w:rsidP="00575589">
      <w:r>
        <w:separator/>
      </w:r>
    </w:p>
  </w:footnote>
  <w:footnote w:type="continuationSeparator" w:id="0">
    <w:p w:rsidR="004E43E4" w:rsidRDefault="004E43E4" w:rsidP="00575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44B" w:rsidRDefault="008F544B" w:rsidP="0029383F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22BD5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85558D"/>
    <w:multiLevelType w:val="hybridMultilevel"/>
    <w:tmpl w:val="AF6C4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07233"/>
    <w:multiLevelType w:val="hybridMultilevel"/>
    <w:tmpl w:val="1396C4E4"/>
    <w:lvl w:ilvl="0" w:tplc="8A08CC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EF765E4"/>
    <w:multiLevelType w:val="hybridMultilevel"/>
    <w:tmpl w:val="4B102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7B57AA"/>
    <w:multiLevelType w:val="hybridMultilevel"/>
    <w:tmpl w:val="A70C0042"/>
    <w:lvl w:ilvl="0" w:tplc="C5FE1BE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36E2C23"/>
    <w:multiLevelType w:val="hybridMultilevel"/>
    <w:tmpl w:val="EDA0D91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B9C"/>
    <w:rsid w:val="000007F8"/>
    <w:rsid w:val="00000E48"/>
    <w:rsid w:val="00001C01"/>
    <w:rsid w:val="000030BB"/>
    <w:rsid w:val="00004EFC"/>
    <w:rsid w:val="000072A0"/>
    <w:rsid w:val="00010689"/>
    <w:rsid w:val="00013189"/>
    <w:rsid w:val="00020323"/>
    <w:rsid w:val="00023D9F"/>
    <w:rsid w:val="00035101"/>
    <w:rsid w:val="00037DF9"/>
    <w:rsid w:val="00040D40"/>
    <w:rsid w:val="00043410"/>
    <w:rsid w:val="00043ED9"/>
    <w:rsid w:val="00044C24"/>
    <w:rsid w:val="00050D33"/>
    <w:rsid w:val="000531DC"/>
    <w:rsid w:val="00054181"/>
    <w:rsid w:val="0006019C"/>
    <w:rsid w:val="000670B6"/>
    <w:rsid w:val="00071DDE"/>
    <w:rsid w:val="000721FA"/>
    <w:rsid w:val="000731E2"/>
    <w:rsid w:val="0008135E"/>
    <w:rsid w:val="000815EE"/>
    <w:rsid w:val="00082618"/>
    <w:rsid w:val="00083793"/>
    <w:rsid w:val="00086D10"/>
    <w:rsid w:val="000956DD"/>
    <w:rsid w:val="000A0512"/>
    <w:rsid w:val="000A18F7"/>
    <w:rsid w:val="000A425F"/>
    <w:rsid w:val="000A72A7"/>
    <w:rsid w:val="000A799B"/>
    <w:rsid w:val="000B45C6"/>
    <w:rsid w:val="000B7C61"/>
    <w:rsid w:val="000B7E93"/>
    <w:rsid w:val="000C41C5"/>
    <w:rsid w:val="000C6B4A"/>
    <w:rsid w:val="000C70E8"/>
    <w:rsid w:val="000D3BB6"/>
    <w:rsid w:val="000E3CD9"/>
    <w:rsid w:val="000E6881"/>
    <w:rsid w:val="000F1D10"/>
    <w:rsid w:val="000F24B1"/>
    <w:rsid w:val="000F4F86"/>
    <w:rsid w:val="000F7043"/>
    <w:rsid w:val="000F7DB5"/>
    <w:rsid w:val="00100C1C"/>
    <w:rsid w:val="00106C4D"/>
    <w:rsid w:val="00114850"/>
    <w:rsid w:val="00122BD5"/>
    <w:rsid w:val="0012401D"/>
    <w:rsid w:val="001373F3"/>
    <w:rsid w:val="0014025E"/>
    <w:rsid w:val="001411C1"/>
    <w:rsid w:val="00155DF2"/>
    <w:rsid w:val="00156F00"/>
    <w:rsid w:val="00166F9A"/>
    <w:rsid w:val="00167564"/>
    <w:rsid w:val="001739B8"/>
    <w:rsid w:val="00175678"/>
    <w:rsid w:val="001764D3"/>
    <w:rsid w:val="00176A13"/>
    <w:rsid w:val="00185B69"/>
    <w:rsid w:val="0019056E"/>
    <w:rsid w:val="00193B44"/>
    <w:rsid w:val="00195717"/>
    <w:rsid w:val="001959AE"/>
    <w:rsid w:val="00196B4A"/>
    <w:rsid w:val="001A0545"/>
    <w:rsid w:val="001A0588"/>
    <w:rsid w:val="001A5B3E"/>
    <w:rsid w:val="001A5B9C"/>
    <w:rsid w:val="001B11B4"/>
    <w:rsid w:val="001B3F3F"/>
    <w:rsid w:val="001B49CF"/>
    <w:rsid w:val="001B5FD8"/>
    <w:rsid w:val="001C18AF"/>
    <w:rsid w:val="001D2895"/>
    <w:rsid w:val="001E1BDD"/>
    <w:rsid w:val="001E2519"/>
    <w:rsid w:val="001E6B70"/>
    <w:rsid w:val="001E7E06"/>
    <w:rsid w:val="001F2CBE"/>
    <w:rsid w:val="001F4FBF"/>
    <w:rsid w:val="001F743A"/>
    <w:rsid w:val="002012D7"/>
    <w:rsid w:val="00202CAE"/>
    <w:rsid w:val="00206223"/>
    <w:rsid w:val="00206573"/>
    <w:rsid w:val="00207D00"/>
    <w:rsid w:val="00210BF0"/>
    <w:rsid w:val="00210DA3"/>
    <w:rsid w:val="0021288C"/>
    <w:rsid w:val="002137E9"/>
    <w:rsid w:val="00213B2C"/>
    <w:rsid w:val="002155DB"/>
    <w:rsid w:val="00217686"/>
    <w:rsid w:val="00220C3B"/>
    <w:rsid w:val="00224FDA"/>
    <w:rsid w:val="002312B4"/>
    <w:rsid w:val="00234FF4"/>
    <w:rsid w:val="00245192"/>
    <w:rsid w:val="002460EB"/>
    <w:rsid w:val="00250589"/>
    <w:rsid w:val="00254238"/>
    <w:rsid w:val="00254443"/>
    <w:rsid w:val="00255606"/>
    <w:rsid w:val="002607E5"/>
    <w:rsid w:val="00262839"/>
    <w:rsid w:val="00265926"/>
    <w:rsid w:val="00267686"/>
    <w:rsid w:val="00271A96"/>
    <w:rsid w:val="00283604"/>
    <w:rsid w:val="00283DAD"/>
    <w:rsid w:val="002862B9"/>
    <w:rsid w:val="00291149"/>
    <w:rsid w:val="0029383F"/>
    <w:rsid w:val="00293FCF"/>
    <w:rsid w:val="00296C84"/>
    <w:rsid w:val="002972EE"/>
    <w:rsid w:val="002A2D48"/>
    <w:rsid w:val="002A3631"/>
    <w:rsid w:val="002B37BC"/>
    <w:rsid w:val="002B566C"/>
    <w:rsid w:val="002B5FD7"/>
    <w:rsid w:val="002B60DE"/>
    <w:rsid w:val="002C5923"/>
    <w:rsid w:val="002D01C2"/>
    <w:rsid w:val="002D187F"/>
    <w:rsid w:val="002D3288"/>
    <w:rsid w:val="002D4CD0"/>
    <w:rsid w:val="002E0CEF"/>
    <w:rsid w:val="002E4F55"/>
    <w:rsid w:val="002E638A"/>
    <w:rsid w:val="002F0C44"/>
    <w:rsid w:val="002F508B"/>
    <w:rsid w:val="00302B5B"/>
    <w:rsid w:val="00304546"/>
    <w:rsid w:val="00304E8C"/>
    <w:rsid w:val="00306337"/>
    <w:rsid w:val="00311AA9"/>
    <w:rsid w:val="003156A8"/>
    <w:rsid w:val="003159D3"/>
    <w:rsid w:val="00320600"/>
    <w:rsid w:val="00335CD7"/>
    <w:rsid w:val="00340BBA"/>
    <w:rsid w:val="00342253"/>
    <w:rsid w:val="00350CCC"/>
    <w:rsid w:val="003514FE"/>
    <w:rsid w:val="00354B1C"/>
    <w:rsid w:val="00355F8E"/>
    <w:rsid w:val="00360360"/>
    <w:rsid w:val="003612C9"/>
    <w:rsid w:val="00363B68"/>
    <w:rsid w:val="00365053"/>
    <w:rsid w:val="003659AF"/>
    <w:rsid w:val="00367D90"/>
    <w:rsid w:val="00370365"/>
    <w:rsid w:val="003740C4"/>
    <w:rsid w:val="003745B8"/>
    <w:rsid w:val="003752C1"/>
    <w:rsid w:val="003754AA"/>
    <w:rsid w:val="00375B07"/>
    <w:rsid w:val="003760E1"/>
    <w:rsid w:val="00391660"/>
    <w:rsid w:val="00393C8C"/>
    <w:rsid w:val="003A004E"/>
    <w:rsid w:val="003A290D"/>
    <w:rsid w:val="003A6841"/>
    <w:rsid w:val="003A69A8"/>
    <w:rsid w:val="003B43D4"/>
    <w:rsid w:val="003C0C9A"/>
    <w:rsid w:val="003C0CA0"/>
    <w:rsid w:val="003C2BBD"/>
    <w:rsid w:val="003C2DEE"/>
    <w:rsid w:val="003C46DF"/>
    <w:rsid w:val="003C5E14"/>
    <w:rsid w:val="003C7375"/>
    <w:rsid w:val="003D1ABE"/>
    <w:rsid w:val="003D600F"/>
    <w:rsid w:val="003D6C7F"/>
    <w:rsid w:val="003E1BD9"/>
    <w:rsid w:val="003E6997"/>
    <w:rsid w:val="003E7534"/>
    <w:rsid w:val="003E7579"/>
    <w:rsid w:val="003E7CC6"/>
    <w:rsid w:val="003F245D"/>
    <w:rsid w:val="003F3DC5"/>
    <w:rsid w:val="003F444D"/>
    <w:rsid w:val="003F4FCD"/>
    <w:rsid w:val="003F53AC"/>
    <w:rsid w:val="003F61BE"/>
    <w:rsid w:val="003F645A"/>
    <w:rsid w:val="0040309B"/>
    <w:rsid w:val="004061AA"/>
    <w:rsid w:val="004127C6"/>
    <w:rsid w:val="00422B7C"/>
    <w:rsid w:val="004247ED"/>
    <w:rsid w:val="004400A2"/>
    <w:rsid w:val="0044299E"/>
    <w:rsid w:val="00452CB4"/>
    <w:rsid w:val="00456D29"/>
    <w:rsid w:val="0046027A"/>
    <w:rsid w:val="00462653"/>
    <w:rsid w:val="00467767"/>
    <w:rsid w:val="00467CA3"/>
    <w:rsid w:val="00474951"/>
    <w:rsid w:val="00476A20"/>
    <w:rsid w:val="00476BBF"/>
    <w:rsid w:val="00486D58"/>
    <w:rsid w:val="004871BD"/>
    <w:rsid w:val="0049102F"/>
    <w:rsid w:val="00492AB9"/>
    <w:rsid w:val="00493B48"/>
    <w:rsid w:val="00495705"/>
    <w:rsid w:val="00496D6F"/>
    <w:rsid w:val="004A1588"/>
    <w:rsid w:val="004A1AA8"/>
    <w:rsid w:val="004A7D8A"/>
    <w:rsid w:val="004B0C6A"/>
    <w:rsid w:val="004B42CB"/>
    <w:rsid w:val="004C087D"/>
    <w:rsid w:val="004C54C2"/>
    <w:rsid w:val="004C5DB5"/>
    <w:rsid w:val="004C68D1"/>
    <w:rsid w:val="004E2175"/>
    <w:rsid w:val="004E43E4"/>
    <w:rsid w:val="004F7BBC"/>
    <w:rsid w:val="00505BC5"/>
    <w:rsid w:val="0051022B"/>
    <w:rsid w:val="0051250E"/>
    <w:rsid w:val="00514BA1"/>
    <w:rsid w:val="00517407"/>
    <w:rsid w:val="0053055B"/>
    <w:rsid w:val="0053183F"/>
    <w:rsid w:val="00533446"/>
    <w:rsid w:val="005350A2"/>
    <w:rsid w:val="00541B49"/>
    <w:rsid w:val="00542765"/>
    <w:rsid w:val="005461B4"/>
    <w:rsid w:val="005537FF"/>
    <w:rsid w:val="00555011"/>
    <w:rsid w:val="0055798B"/>
    <w:rsid w:val="005664DE"/>
    <w:rsid w:val="00575589"/>
    <w:rsid w:val="00580C49"/>
    <w:rsid w:val="005828CE"/>
    <w:rsid w:val="00585ED6"/>
    <w:rsid w:val="00587E23"/>
    <w:rsid w:val="00593C50"/>
    <w:rsid w:val="005A1D7F"/>
    <w:rsid w:val="005A3363"/>
    <w:rsid w:val="005A5A5E"/>
    <w:rsid w:val="005B7072"/>
    <w:rsid w:val="005C5823"/>
    <w:rsid w:val="005D09CD"/>
    <w:rsid w:val="005D2837"/>
    <w:rsid w:val="005D32D4"/>
    <w:rsid w:val="005D5B22"/>
    <w:rsid w:val="005E45C8"/>
    <w:rsid w:val="005E5724"/>
    <w:rsid w:val="005E572E"/>
    <w:rsid w:val="00604CD7"/>
    <w:rsid w:val="006064AD"/>
    <w:rsid w:val="00611F12"/>
    <w:rsid w:val="00611FC9"/>
    <w:rsid w:val="00612EEB"/>
    <w:rsid w:val="006132E7"/>
    <w:rsid w:val="00621A4A"/>
    <w:rsid w:val="00622FD1"/>
    <w:rsid w:val="00624336"/>
    <w:rsid w:val="0062436D"/>
    <w:rsid w:val="00630339"/>
    <w:rsid w:val="00631EC0"/>
    <w:rsid w:val="0063358E"/>
    <w:rsid w:val="00633CF6"/>
    <w:rsid w:val="00640A69"/>
    <w:rsid w:val="00641B4D"/>
    <w:rsid w:val="00643B98"/>
    <w:rsid w:val="00646997"/>
    <w:rsid w:val="00646AB7"/>
    <w:rsid w:val="006470A5"/>
    <w:rsid w:val="00647CFA"/>
    <w:rsid w:val="006500B3"/>
    <w:rsid w:val="006549DA"/>
    <w:rsid w:val="00664B16"/>
    <w:rsid w:val="00672310"/>
    <w:rsid w:val="006727D5"/>
    <w:rsid w:val="00687E8E"/>
    <w:rsid w:val="00690D2A"/>
    <w:rsid w:val="00692942"/>
    <w:rsid w:val="00693BDA"/>
    <w:rsid w:val="00696E01"/>
    <w:rsid w:val="006A0E87"/>
    <w:rsid w:val="006B2250"/>
    <w:rsid w:val="006B260C"/>
    <w:rsid w:val="006B2CA1"/>
    <w:rsid w:val="006C0CC7"/>
    <w:rsid w:val="006C15B2"/>
    <w:rsid w:val="006C4900"/>
    <w:rsid w:val="006C4E88"/>
    <w:rsid w:val="006D0AB5"/>
    <w:rsid w:val="006D0D74"/>
    <w:rsid w:val="006D1BC4"/>
    <w:rsid w:val="006D2B8F"/>
    <w:rsid w:val="006D34F5"/>
    <w:rsid w:val="006D5490"/>
    <w:rsid w:val="006D6B85"/>
    <w:rsid w:val="006E0281"/>
    <w:rsid w:val="006F0675"/>
    <w:rsid w:val="006F3945"/>
    <w:rsid w:val="006F5ECF"/>
    <w:rsid w:val="006F6E2B"/>
    <w:rsid w:val="006F6EB3"/>
    <w:rsid w:val="006F721E"/>
    <w:rsid w:val="006F7A2C"/>
    <w:rsid w:val="00704AB5"/>
    <w:rsid w:val="00710B7F"/>
    <w:rsid w:val="00715722"/>
    <w:rsid w:val="00716954"/>
    <w:rsid w:val="0072000A"/>
    <w:rsid w:val="00722C2B"/>
    <w:rsid w:val="00732396"/>
    <w:rsid w:val="00737981"/>
    <w:rsid w:val="007421CD"/>
    <w:rsid w:val="00743B81"/>
    <w:rsid w:val="00750077"/>
    <w:rsid w:val="00751028"/>
    <w:rsid w:val="00754160"/>
    <w:rsid w:val="00755240"/>
    <w:rsid w:val="00761435"/>
    <w:rsid w:val="00762B11"/>
    <w:rsid w:val="00764A3C"/>
    <w:rsid w:val="0076594B"/>
    <w:rsid w:val="0076791D"/>
    <w:rsid w:val="00777791"/>
    <w:rsid w:val="00781AE8"/>
    <w:rsid w:val="00790E2D"/>
    <w:rsid w:val="00796852"/>
    <w:rsid w:val="00796BF5"/>
    <w:rsid w:val="007A117B"/>
    <w:rsid w:val="007A4459"/>
    <w:rsid w:val="007A739B"/>
    <w:rsid w:val="007B1512"/>
    <w:rsid w:val="007B733F"/>
    <w:rsid w:val="007B7E2F"/>
    <w:rsid w:val="007C000B"/>
    <w:rsid w:val="007C087C"/>
    <w:rsid w:val="007C4271"/>
    <w:rsid w:val="007C4F8E"/>
    <w:rsid w:val="007D02DF"/>
    <w:rsid w:val="007D328A"/>
    <w:rsid w:val="007D5324"/>
    <w:rsid w:val="007D5699"/>
    <w:rsid w:val="007E1BFA"/>
    <w:rsid w:val="007E26D8"/>
    <w:rsid w:val="007E5769"/>
    <w:rsid w:val="007F4912"/>
    <w:rsid w:val="007F5431"/>
    <w:rsid w:val="007F66E4"/>
    <w:rsid w:val="0080131A"/>
    <w:rsid w:val="0080233B"/>
    <w:rsid w:val="00802DB7"/>
    <w:rsid w:val="00804666"/>
    <w:rsid w:val="00805F77"/>
    <w:rsid w:val="00812261"/>
    <w:rsid w:val="00812E5C"/>
    <w:rsid w:val="00816940"/>
    <w:rsid w:val="008216F6"/>
    <w:rsid w:val="00827090"/>
    <w:rsid w:val="00830736"/>
    <w:rsid w:val="008319EE"/>
    <w:rsid w:val="00831FFA"/>
    <w:rsid w:val="008337D7"/>
    <w:rsid w:val="00835DE6"/>
    <w:rsid w:val="00840869"/>
    <w:rsid w:val="00841F99"/>
    <w:rsid w:val="00842D20"/>
    <w:rsid w:val="008570E5"/>
    <w:rsid w:val="00860F3B"/>
    <w:rsid w:val="0086541C"/>
    <w:rsid w:val="00865536"/>
    <w:rsid w:val="0086694C"/>
    <w:rsid w:val="008708C9"/>
    <w:rsid w:val="008718AE"/>
    <w:rsid w:val="00872016"/>
    <w:rsid w:val="008768EE"/>
    <w:rsid w:val="00883F1A"/>
    <w:rsid w:val="00885710"/>
    <w:rsid w:val="00885D87"/>
    <w:rsid w:val="008873C7"/>
    <w:rsid w:val="00887FDE"/>
    <w:rsid w:val="00890E69"/>
    <w:rsid w:val="008916CB"/>
    <w:rsid w:val="00891AC0"/>
    <w:rsid w:val="008955C4"/>
    <w:rsid w:val="008A5DB6"/>
    <w:rsid w:val="008B03BE"/>
    <w:rsid w:val="008B0678"/>
    <w:rsid w:val="008B53CB"/>
    <w:rsid w:val="008C1F0A"/>
    <w:rsid w:val="008C2415"/>
    <w:rsid w:val="008C60EC"/>
    <w:rsid w:val="008C68B2"/>
    <w:rsid w:val="008D75E6"/>
    <w:rsid w:val="008E5312"/>
    <w:rsid w:val="008E7A92"/>
    <w:rsid w:val="008E7C5E"/>
    <w:rsid w:val="008F0CF4"/>
    <w:rsid w:val="008F3796"/>
    <w:rsid w:val="008F544B"/>
    <w:rsid w:val="00902FAE"/>
    <w:rsid w:val="009048FF"/>
    <w:rsid w:val="00914158"/>
    <w:rsid w:val="00921E16"/>
    <w:rsid w:val="00924F4B"/>
    <w:rsid w:val="009260A0"/>
    <w:rsid w:val="00927B37"/>
    <w:rsid w:val="00927E61"/>
    <w:rsid w:val="00940E0B"/>
    <w:rsid w:val="00941F07"/>
    <w:rsid w:val="00942979"/>
    <w:rsid w:val="00942EDA"/>
    <w:rsid w:val="00943612"/>
    <w:rsid w:val="00945FC7"/>
    <w:rsid w:val="00947583"/>
    <w:rsid w:val="009500ED"/>
    <w:rsid w:val="00951411"/>
    <w:rsid w:val="009529A4"/>
    <w:rsid w:val="00954F5C"/>
    <w:rsid w:val="00963962"/>
    <w:rsid w:val="00965BE8"/>
    <w:rsid w:val="00970789"/>
    <w:rsid w:val="00973022"/>
    <w:rsid w:val="00976090"/>
    <w:rsid w:val="00983A43"/>
    <w:rsid w:val="0098517B"/>
    <w:rsid w:val="009A55DD"/>
    <w:rsid w:val="009A7739"/>
    <w:rsid w:val="009B0097"/>
    <w:rsid w:val="009B025D"/>
    <w:rsid w:val="009B36A2"/>
    <w:rsid w:val="009B6BA7"/>
    <w:rsid w:val="009C24ED"/>
    <w:rsid w:val="009C5BFB"/>
    <w:rsid w:val="009D31AA"/>
    <w:rsid w:val="009E0A09"/>
    <w:rsid w:val="009E4237"/>
    <w:rsid w:val="009F25F2"/>
    <w:rsid w:val="00A02DB6"/>
    <w:rsid w:val="00A03BE1"/>
    <w:rsid w:val="00A11684"/>
    <w:rsid w:val="00A15241"/>
    <w:rsid w:val="00A23962"/>
    <w:rsid w:val="00A30281"/>
    <w:rsid w:val="00A33C3A"/>
    <w:rsid w:val="00A469B7"/>
    <w:rsid w:val="00A52C7A"/>
    <w:rsid w:val="00A531BA"/>
    <w:rsid w:val="00A53E28"/>
    <w:rsid w:val="00A57EEE"/>
    <w:rsid w:val="00A61637"/>
    <w:rsid w:val="00A624D7"/>
    <w:rsid w:val="00A63EEE"/>
    <w:rsid w:val="00A64089"/>
    <w:rsid w:val="00A70A04"/>
    <w:rsid w:val="00A72392"/>
    <w:rsid w:val="00A72E74"/>
    <w:rsid w:val="00A73A25"/>
    <w:rsid w:val="00A7479F"/>
    <w:rsid w:val="00A77CC3"/>
    <w:rsid w:val="00A81CD5"/>
    <w:rsid w:val="00A82DDA"/>
    <w:rsid w:val="00A87EE2"/>
    <w:rsid w:val="00A92152"/>
    <w:rsid w:val="00A926C4"/>
    <w:rsid w:val="00A92A0D"/>
    <w:rsid w:val="00A9648D"/>
    <w:rsid w:val="00AA0876"/>
    <w:rsid w:val="00AA7C30"/>
    <w:rsid w:val="00AB184E"/>
    <w:rsid w:val="00AB2E07"/>
    <w:rsid w:val="00AC00EA"/>
    <w:rsid w:val="00AC0C32"/>
    <w:rsid w:val="00AD282D"/>
    <w:rsid w:val="00AE0117"/>
    <w:rsid w:val="00AE23F6"/>
    <w:rsid w:val="00AE446E"/>
    <w:rsid w:val="00AE5B28"/>
    <w:rsid w:val="00AF0F99"/>
    <w:rsid w:val="00AF2BC5"/>
    <w:rsid w:val="00B01CDB"/>
    <w:rsid w:val="00B043AD"/>
    <w:rsid w:val="00B11CC5"/>
    <w:rsid w:val="00B22EC7"/>
    <w:rsid w:val="00B30A87"/>
    <w:rsid w:val="00B316D9"/>
    <w:rsid w:val="00B349F1"/>
    <w:rsid w:val="00B36BCB"/>
    <w:rsid w:val="00B44E8C"/>
    <w:rsid w:val="00B45CED"/>
    <w:rsid w:val="00B46922"/>
    <w:rsid w:val="00B51299"/>
    <w:rsid w:val="00B5221E"/>
    <w:rsid w:val="00B522B1"/>
    <w:rsid w:val="00B56FF1"/>
    <w:rsid w:val="00B578EA"/>
    <w:rsid w:val="00B611A9"/>
    <w:rsid w:val="00B62D24"/>
    <w:rsid w:val="00B67520"/>
    <w:rsid w:val="00B70579"/>
    <w:rsid w:val="00B70D8D"/>
    <w:rsid w:val="00B81CBF"/>
    <w:rsid w:val="00B83299"/>
    <w:rsid w:val="00B83ADF"/>
    <w:rsid w:val="00B86A2D"/>
    <w:rsid w:val="00B8716F"/>
    <w:rsid w:val="00B93669"/>
    <w:rsid w:val="00B94F9F"/>
    <w:rsid w:val="00B951CF"/>
    <w:rsid w:val="00B96578"/>
    <w:rsid w:val="00BA771D"/>
    <w:rsid w:val="00BB63C3"/>
    <w:rsid w:val="00BC1C78"/>
    <w:rsid w:val="00BC5735"/>
    <w:rsid w:val="00BD08E3"/>
    <w:rsid w:val="00BE0018"/>
    <w:rsid w:val="00BE4989"/>
    <w:rsid w:val="00BF3989"/>
    <w:rsid w:val="00C01029"/>
    <w:rsid w:val="00C04771"/>
    <w:rsid w:val="00C06129"/>
    <w:rsid w:val="00C077FA"/>
    <w:rsid w:val="00C12EEE"/>
    <w:rsid w:val="00C13046"/>
    <w:rsid w:val="00C17077"/>
    <w:rsid w:val="00C20D56"/>
    <w:rsid w:val="00C27FD6"/>
    <w:rsid w:val="00C347C6"/>
    <w:rsid w:val="00C41625"/>
    <w:rsid w:val="00C4585E"/>
    <w:rsid w:val="00C5019E"/>
    <w:rsid w:val="00C51E1C"/>
    <w:rsid w:val="00C52B65"/>
    <w:rsid w:val="00C55405"/>
    <w:rsid w:val="00C56AEC"/>
    <w:rsid w:val="00C614AD"/>
    <w:rsid w:val="00C74C77"/>
    <w:rsid w:val="00C74F31"/>
    <w:rsid w:val="00C77108"/>
    <w:rsid w:val="00C80DB8"/>
    <w:rsid w:val="00C8452D"/>
    <w:rsid w:val="00C85EE5"/>
    <w:rsid w:val="00C86192"/>
    <w:rsid w:val="00C8687E"/>
    <w:rsid w:val="00C901FB"/>
    <w:rsid w:val="00C90370"/>
    <w:rsid w:val="00C92061"/>
    <w:rsid w:val="00C94999"/>
    <w:rsid w:val="00C9685F"/>
    <w:rsid w:val="00CA0909"/>
    <w:rsid w:val="00CA3CA7"/>
    <w:rsid w:val="00CA6DFE"/>
    <w:rsid w:val="00CA7E4A"/>
    <w:rsid w:val="00CB0B24"/>
    <w:rsid w:val="00CB3108"/>
    <w:rsid w:val="00CB7617"/>
    <w:rsid w:val="00CC3816"/>
    <w:rsid w:val="00CD07BD"/>
    <w:rsid w:val="00CD21CC"/>
    <w:rsid w:val="00CE0056"/>
    <w:rsid w:val="00CE015E"/>
    <w:rsid w:val="00CE0539"/>
    <w:rsid w:val="00CE2E87"/>
    <w:rsid w:val="00CE4822"/>
    <w:rsid w:val="00CE604C"/>
    <w:rsid w:val="00CE7D98"/>
    <w:rsid w:val="00CF753D"/>
    <w:rsid w:val="00D018D2"/>
    <w:rsid w:val="00D02855"/>
    <w:rsid w:val="00D03CC2"/>
    <w:rsid w:val="00D03E93"/>
    <w:rsid w:val="00D05E29"/>
    <w:rsid w:val="00D060C1"/>
    <w:rsid w:val="00D101CC"/>
    <w:rsid w:val="00D12E7B"/>
    <w:rsid w:val="00D14191"/>
    <w:rsid w:val="00D23DE5"/>
    <w:rsid w:val="00D30BD0"/>
    <w:rsid w:val="00D44BDE"/>
    <w:rsid w:val="00D46AB1"/>
    <w:rsid w:val="00D5488B"/>
    <w:rsid w:val="00D54C76"/>
    <w:rsid w:val="00D57280"/>
    <w:rsid w:val="00D57854"/>
    <w:rsid w:val="00D617D4"/>
    <w:rsid w:val="00D61AD1"/>
    <w:rsid w:val="00D72D09"/>
    <w:rsid w:val="00D736A2"/>
    <w:rsid w:val="00D80AFD"/>
    <w:rsid w:val="00D827C0"/>
    <w:rsid w:val="00D86770"/>
    <w:rsid w:val="00D91D81"/>
    <w:rsid w:val="00D94DBB"/>
    <w:rsid w:val="00D95A0D"/>
    <w:rsid w:val="00DB2F4A"/>
    <w:rsid w:val="00DC1DB0"/>
    <w:rsid w:val="00DC45E4"/>
    <w:rsid w:val="00DD07AD"/>
    <w:rsid w:val="00DD12F6"/>
    <w:rsid w:val="00DE3354"/>
    <w:rsid w:val="00DF007B"/>
    <w:rsid w:val="00DF085B"/>
    <w:rsid w:val="00DF0870"/>
    <w:rsid w:val="00DF40C7"/>
    <w:rsid w:val="00DF6A54"/>
    <w:rsid w:val="00DF7685"/>
    <w:rsid w:val="00E0521F"/>
    <w:rsid w:val="00E059D4"/>
    <w:rsid w:val="00E1325E"/>
    <w:rsid w:val="00E176FC"/>
    <w:rsid w:val="00E218FE"/>
    <w:rsid w:val="00E252D6"/>
    <w:rsid w:val="00E25B9E"/>
    <w:rsid w:val="00E2769F"/>
    <w:rsid w:val="00E30230"/>
    <w:rsid w:val="00E30DB5"/>
    <w:rsid w:val="00E33A1D"/>
    <w:rsid w:val="00E367AC"/>
    <w:rsid w:val="00E4354B"/>
    <w:rsid w:val="00E4691D"/>
    <w:rsid w:val="00E53DF4"/>
    <w:rsid w:val="00E5633D"/>
    <w:rsid w:val="00E6118A"/>
    <w:rsid w:val="00E714BB"/>
    <w:rsid w:val="00E7298A"/>
    <w:rsid w:val="00E745CF"/>
    <w:rsid w:val="00E75948"/>
    <w:rsid w:val="00E75DF4"/>
    <w:rsid w:val="00E76C43"/>
    <w:rsid w:val="00E848AE"/>
    <w:rsid w:val="00E84D2A"/>
    <w:rsid w:val="00E8518D"/>
    <w:rsid w:val="00E8644C"/>
    <w:rsid w:val="00E86BC9"/>
    <w:rsid w:val="00E9223A"/>
    <w:rsid w:val="00E92F41"/>
    <w:rsid w:val="00E9552C"/>
    <w:rsid w:val="00EA2469"/>
    <w:rsid w:val="00EA4734"/>
    <w:rsid w:val="00EA4A95"/>
    <w:rsid w:val="00EA6061"/>
    <w:rsid w:val="00EB0F51"/>
    <w:rsid w:val="00EB45BC"/>
    <w:rsid w:val="00EB4A62"/>
    <w:rsid w:val="00ED30DA"/>
    <w:rsid w:val="00ED31F5"/>
    <w:rsid w:val="00ED721F"/>
    <w:rsid w:val="00EE507D"/>
    <w:rsid w:val="00EE795D"/>
    <w:rsid w:val="00EE7BFD"/>
    <w:rsid w:val="00EF0605"/>
    <w:rsid w:val="00EF18A3"/>
    <w:rsid w:val="00EF33ED"/>
    <w:rsid w:val="00EF4FD8"/>
    <w:rsid w:val="00F04E4D"/>
    <w:rsid w:val="00F0555A"/>
    <w:rsid w:val="00F10E29"/>
    <w:rsid w:val="00F12195"/>
    <w:rsid w:val="00F12540"/>
    <w:rsid w:val="00F1340A"/>
    <w:rsid w:val="00F13B24"/>
    <w:rsid w:val="00F14AA2"/>
    <w:rsid w:val="00F16D58"/>
    <w:rsid w:val="00F221DF"/>
    <w:rsid w:val="00F31E56"/>
    <w:rsid w:val="00F3575A"/>
    <w:rsid w:val="00F36EBC"/>
    <w:rsid w:val="00F37449"/>
    <w:rsid w:val="00F40BB4"/>
    <w:rsid w:val="00F52E9A"/>
    <w:rsid w:val="00F61C56"/>
    <w:rsid w:val="00F63DCE"/>
    <w:rsid w:val="00F67CB2"/>
    <w:rsid w:val="00F7555D"/>
    <w:rsid w:val="00F75ED0"/>
    <w:rsid w:val="00F8058B"/>
    <w:rsid w:val="00F82222"/>
    <w:rsid w:val="00F83E69"/>
    <w:rsid w:val="00F842A0"/>
    <w:rsid w:val="00F86DCF"/>
    <w:rsid w:val="00F957A1"/>
    <w:rsid w:val="00F97E68"/>
    <w:rsid w:val="00FA2DED"/>
    <w:rsid w:val="00FA4031"/>
    <w:rsid w:val="00FB57FC"/>
    <w:rsid w:val="00FB6339"/>
    <w:rsid w:val="00FC116D"/>
    <w:rsid w:val="00FD064A"/>
    <w:rsid w:val="00FD0AE9"/>
    <w:rsid w:val="00FD1247"/>
    <w:rsid w:val="00FD1EED"/>
    <w:rsid w:val="00FD7471"/>
    <w:rsid w:val="00FD7596"/>
    <w:rsid w:val="00FD79B9"/>
    <w:rsid w:val="00FE3B10"/>
    <w:rsid w:val="00FF14AA"/>
    <w:rsid w:val="00FF67CB"/>
    <w:rsid w:val="00FF7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AB5AC6D-9954-4581-8DB4-CF103568B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AB1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97078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C0CA0"/>
    <w:rPr>
      <w:rFonts w:ascii="Tahoma" w:hAnsi="Tahoma" w:cs="Tahoma"/>
      <w:sz w:val="16"/>
      <w:szCs w:val="16"/>
    </w:rPr>
  </w:style>
  <w:style w:type="character" w:customStyle="1" w:styleId="a4">
    <w:name w:val="Гипертекстовая ссылка"/>
    <w:uiPriority w:val="99"/>
    <w:rsid w:val="00872016"/>
    <w:rPr>
      <w:color w:val="008000"/>
    </w:rPr>
  </w:style>
  <w:style w:type="character" w:styleId="a5">
    <w:name w:val="annotation reference"/>
    <w:rsid w:val="00086D10"/>
    <w:rPr>
      <w:sz w:val="16"/>
      <w:szCs w:val="16"/>
    </w:rPr>
  </w:style>
  <w:style w:type="paragraph" w:styleId="a6">
    <w:name w:val="annotation text"/>
    <w:basedOn w:val="a"/>
    <w:link w:val="a7"/>
    <w:rsid w:val="00086D10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086D10"/>
  </w:style>
  <w:style w:type="paragraph" w:styleId="a8">
    <w:name w:val="header"/>
    <w:basedOn w:val="a"/>
    <w:link w:val="a9"/>
    <w:uiPriority w:val="99"/>
    <w:rsid w:val="0057558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575589"/>
    <w:rPr>
      <w:sz w:val="28"/>
      <w:szCs w:val="28"/>
    </w:rPr>
  </w:style>
  <w:style w:type="paragraph" w:styleId="aa">
    <w:name w:val="footer"/>
    <w:basedOn w:val="a"/>
    <w:link w:val="ab"/>
    <w:uiPriority w:val="99"/>
    <w:rsid w:val="0057558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575589"/>
    <w:rPr>
      <w:sz w:val="28"/>
      <w:szCs w:val="28"/>
    </w:rPr>
  </w:style>
  <w:style w:type="character" w:styleId="ac">
    <w:name w:val="Hyperlink"/>
    <w:uiPriority w:val="99"/>
    <w:unhideWhenUsed/>
    <w:rsid w:val="00CB3108"/>
    <w:rPr>
      <w:color w:val="404040"/>
      <w:u w:val="single"/>
    </w:rPr>
  </w:style>
  <w:style w:type="paragraph" w:customStyle="1" w:styleId="Style1">
    <w:name w:val="Style1"/>
    <w:basedOn w:val="a"/>
    <w:uiPriority w:val="99"/>
    <w:rsid w:val="000203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0203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0203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0203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0203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0203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0203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0203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0203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02032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2">
    <w:name w:val="Font Style12"/>
    <w:uiPriority w:val="99"/>
    <w:rsid w:val="00020323"/>
    <w:rPr>
      <w:rFonts w:ascii="Georgia" w:hAnsi="Georgia" w:cs="Georgia"/>
      <w:sz w:val="24"/>
      <w:szCs w:val="24"/>
    </w:rPr>
  </w:style>
  <w:style w:type="character" w:customStyle="1" w:styleId="FontStyle13">
    <w:name w:val="Font Style13"/>
    <w:uiPriority w:val="99"/>
    <w:rsid w:val="00020323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020323"/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uiPriority w:val="99"/>
    <w:rsid w:val="0002032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6">
    <w:name w:val="Font Style16"/>
    <w:uiPriority w:val="99"/>
    <w:rsid w:val="00020323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7">
    <w:name w:val="Font Style17"/>
    <w:uiPriority w:val="99"/>
    <w:rsid w:val="00020323"/>
    <w:rPr>
      <w:rFonts w:ascii="Times New Roman" w:hAnsi="Times New Roman" w:cs="Times New Roman"/>
      <w:sz w:val="20"/>
      <w:szCs w:val="20"/>
    </w:rPr>
  </w:style>
  <w:style w:type="paragraph" w:customStyle="1" w:styleId="ad">
    <w:name w:val="Информация об изменениях"/>
    <w:basedOn w:val="a"/>
    <w:next w:val="a"/>
    <w:uiPriority w:val="99"/>
    <w:rsid w:val="004061AA"/>
    <w:pPr>
      <w:autoSpaceDE w:val="0"/>
      <w:autoSpaceDN w:val="0"/>
      <w:adjustRightInd w:val="0"/>
      <w:spacing w:before="180"/>
      <w:ind w:left="360" w:right="360"/>
      <w:jc w:val="both"/>
    </w:pPr>
    <w:rPr>
      <w:rFonts w:ascii="Arial" w:hAnsi="Arial" w:cs="Arial"/>
      <w:sz w:val="24"/>
      <w:szCs w:val="24"/>
      <w:shd w:val="clear" w:color="auto" w:fill="EAEFED"/>
    </w:rPr>
  </w:style>
  <w:style w:type="character" w:customStyle="1" w:styleId="10">
    <w:name w:val="Заголовок 1 Знак"/>
    <w:link w:val="1"/>
    <w:uiPriority w:val="99"/>
    <w:rsid w:val="00970789"/>
    <w:rPr>
      <w:rFonts w:ascii="Arial" w:hAnsi="Arial" w:cs="Arial"/>
      <w:b/>
      <w:bCs/>
      <w:color w:val="000080"/>
      <w:sz w:val="24"/>
      <w:szCs w:val="24"/>
    </w:rPr>
  </w:style>
  <w:style w:type="paragraph" w:customStyle="1" w:styleId="ae">
    <w:name w:val="Заголовок группы контролов"/>
    <w:basedOn w:val="a"/>
    <w:next w:val="a"/>
    <w:uiPriority w:val="99"/>
    <w:rsid w:val="00970789"/>
    <w:pPr>
      <w:autoSpaceDE w:val="0"/>
      <w:autoSpaceDN w:val="0"/>
      <w:adjustRightInd w:val="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styleId="af">
    <w:name w:val="No Spacing"/>
    <w:uiPriority w:val="1"/>
    <w:qFormat/>
    <w:rsid w:val="00970789"/>
    <w:rPr>
      <w:sz w:val="28"/>
      <w:szCs w:val="28"/>
    </w:rPr>
  </w:style>
  <w:style w:type="paragraph" w:customStyle="1" w:styleId="af0">
    <w:name w:val="Прижатый влево"/>
    <w:basedOn w:val="a"/>
    <w:next w:val="a"/>
    <w:uiPriority w:val="99"/>
    <w:rsid w:val="003A004E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2">
    <w:name w:val="Заголовок №2_"/>
    <w:link w:val="20"/>
    <w:uiPriority w:val="99"/>
    <w:locked/>
    <w:rsid w:val="00A72392"/>
    <w:rPr>
      <w:b/>
      <w:bCs/>
      <w:sz w:val="26"/>
      <w:szCs w:val="26"/>
      <w:shd w:val="clear" w:color="auto" w:fill="FFFFFF"/>
      <w:lang w:bidi="ar-SA"/>
    </w:rPr>
  </w:style>
  <w:style w:type="paragraph" w:customStyle="1" w:styleId="20">
    <w:name w:val="Заголовок №2"/>
    <w:basedOn w:val="a"/>
    <w:link w:val="2"/>
    <w:uiPriority w:val="99"/>
    <w:rsid w:val="00A72392"/>
    <w:pPr>
      <w:shd w:val="clear" w:color="auto" w:fill="FFFFFF"/>
      <w:spacing w:before="300" w:after="300" w:line="322" w:lineRule="exact"/>
      <w:jc w:val="center"/>
      <w:outlineLvl w:val="1"/>
    </w:pPr>
    <w:rPr>
      <w:b/>
      <w:bCs/>
      <w:sz w:val="26"/>
      <w:szCs w:val="26"/>
      <w:shd w:val="clear" w:color="auto" w:fill="FFFFFF"/>
      <w:lang w:val="x-none" w:eastAsia="x-none"/>
    </w:rPr>
  </w:style>
  <w:style w:type="paragraph" w:customStyle="1" w:styleId="ConsPlusNormal">
    <w:name w:val="ConsPlusNormal"/>
    <w:rsid w:val="00641B4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table" w:styleId="af1">
    <w:name w:val="Table Grid"/>
    <w:basedOn w:val="a1"/>
    <w:uiPriority w:val="39"/>
    <w:rsid w:val="009F25F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9F25F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2">
    <w:name w:val="List Paragraph"/>
    <w:basedOn w:val="a"/>
    <w:uiPriority w:val="34"/>
    <w:qFormat/>
    <w:rsid w:val="009F25F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9A55D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3">
    <w:name w:val="Normal (Web)"/>
    <w:basedOn w:val="a"/>
    <w:uiPriority w:val="99"/>
    <w:unhideWhenUsed/>
    <w:rsid w:val="000C41C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36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1283</Words>
  <Characters>7316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GASNRT</Company>
  <LinksUpToDate>false</LinksUpToDate>
  <CharactersWithSpaces>8582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Вишнякова Светлана Г</dc:creator>
  <cp:lastModifiedBy>pomosh4</cp:lastModifiedBy>
  <cp:revision>2</cp:revision>
  <cp:lastPrinted>2019-07-05T07:26:00Z</cp:lastPrinted>
  <dcterms:created xsi:type="dcterms:W3CDTF">2019-07-09T16:22:00Z</dcterms:created>
  <dcterms:modified xsi:type="dcterms:W3CDTF">2019-07-09T16:22:00Z</dcterms:modified>
</cp:coreProperties>
</file>