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73ED4" w:rsidRPr="00D423B2" w:rsidRDefault="00073ED4" w:rsidP="00073ED4">
      <w:pPr>
        <w:pStyle w:val="20"/>
        <w:keepNext/>
        <w:keepLines/>
        <w:shd w:val="clear" w:color="auto" w:fill="auto"/>
        <w:spacing w:before="0" w:after="0" w:line="240" w:lineRule="auto"/>
        <w:rPr>
          <w:rFonts w:ascii="Times New Roman" w:hAnsi="Times New Roman" w:cs="Times New Roman"/>
          <w:sz w:val="28"/>
          <w:szCs w:val="28"/>
        </w:rPr>
      </w:pPr>
      <w:bookmarkStart w:id="0" w:name="_GoBack"/>
      <w:bookmarkEnd w:id="0"/>
      <w:r w:rsidRPr="00D423B2">
        <w:rPr>
          <w:rFonts w:ascii="Times New Roman" w:hAnsi="Times New Roman" w:cs="Times New Roman"/>
          <w:sz w:val="28"/>
          <w:szCs w:val="28"/>
        </w:rPr>
        <w:t xml:space="preserve">СРАВНИТЕЛЬНАЯ ТАБЛИЦА </w:t>
      </w:r>
    </w:p>
    <w:p w:rsidR="00073ED4" w:rsidRPr="00D423B2" w:rsidRDefault="00073ED4" w:rsidP="00073ED4">
      <w:pPr>
        <w:pStyle w:val="20"/>
        <w:keepNext/>
        <w:keepLines/>
        <w:shd w:val="clear" w:color="auto" w:fill="auto"/>
        <w:spacing w:before="0" w:after="0" w:line="240" w:lineRule="auto"/>
        <w:rPr>
          <w:rFonts w:ascii="Times New Roman" w:hAnsi="Times New Roman"/>
          <w:sz w:val="28"/>
          <w:szCs w:val="28"/>
        </w:rPr>
      </w:pPr>
      <w:r w:rsidRPr="00D423B2">
        <w:rPr>
          <w:rFonts w:ascii="Times New Roman" w:hAnsi="Times New Roman" w:cs="Times New Roman"/>
          <w:sz w:val="28"/>
          <w:szCs w:val="28"/>
        </w:rPr>
        <w:t>к проекту закона «</w:t>
      </w:r>
      <w:r w:rsidRPr="00D423B2">
        <w:rPr>
          <w:rFonts w:ascii="Times New Roman" w:hAnsi="Times New Roman"/>
          <w:sz w:val="28"/>
          <w:szCs w:val="28"/>
        </w:rPr>
        <w:t xml:space="preserve">О внесении изменения в Закон Республики Татарстан </w:t>
      </w:r>
    </w:p>
    <w:p w:rsidR="00073ED4" w:rsidRPr="00D423B2" w:rsidRDefault="00073ED4" w:rsidP="00073ED4">
      <w:pPr>
        <w:pStyle w:val="20"/>
        <w:keepNext/>
        <w:keepLines/>
        <w:shd w:val="clear" w:color="auto" w:fill="auto"/>
        <w:spacing w:before="0" w:after="0" w:line="240" w:lineRule="auto"/>
        <w:rPr>
          <w:rFonts w:ascii="Times New Roman" w:hAnsi="Times New Roman"/>
          <w:sz w:val="28"/>
          <w:szCs w:val="28"/>
        </w:rPr>
      </w:pPr>
      <w:r w:rsidRPr="00D423B2">
        <w:rPr>
          <w:rFonts w:ascii="Times New Roman" w:hAnsi="Times New Roman"/>
          <w:sz w:val="28"/>
          <w:szCs w:val="28"/>
        </w:rPr>
        <w:t>«Об утверждении Стратегии развития топливно</w:t>
      </w:r>
      <w:r w:rsidRPr="00D423B2">
        <w:rPr>
          <w:rFonts w:ascii="Times New Roman" w:hAnsi="Times New Roman"/>
          <w:b w:val="0"/>
          <w:sz w:val="28"/>
          <w:szCs w:val="28"/>
        </w:rPr>
        <w:t>-</w:t>
      </w:r>
      <w:r w:rsidRPr="00D423B2">
        <w:rPr>
          <w:rFonts w:ascii="Times New Roman" w:hAnsi="Times New Roman"/>
          <w:sz w:val="28"/>
          <w:szCs w:val="28"/>
        </w:rPr>
        <w:t>энергетического комплекса</w:t>
      </w:r>
      <w:r w:rsidRPr="00D423B2">
        <w:rPr>
          <w:sz w:val="28"/>
          <w:szCs w:val="28"/>
        </w:rPr>
        <w:t xml:space="preserve"> </w:t>
      </w:r>
      <w:r w:rsidRPr="00D423B2">
        <w:rPr>
          <w:rFonts w:ascii="Times New Roman" w:hAnsi="Times New Roman"/>
          <w:sz w:val="28"/>
          <w:szCs w:val="28"/>
        </w:rPr>
        <w:t>Республики Татарстан на период до 2030 года»</w:t>
      </w:r>
    </w:p>
    <w:p w:rsidR="00AD1706" w:rsidRPr="00D423B2" w:rsidRDefault="00AD1706"/>
    <w:tbl>
      <w:tblPr>
        <w:tblStyle w:val="a3"/>
        <w:tblW w:w="16302" w:type="dxa"/>
        <w:tblInd w:w="-856" w:type="dxa"/>
        <w:tblLayout w:type="fixed"/>
        <w:tblLook w:val="04A0" w:firstRow="1" w:lastRow="0" w:firstColumn="1" w:lastColumn="0" w:noHBand="0" w:noVBand="1"/>
      </w:tblPr>
      <w:tblGrid>
        <w:gridCol w:w="425"/>
        <w:gridCol w:w="5388"/>
        <w:gridCol w:w="5244"/>
        <w:gridCol w:w="5245"/>
      </w:tblGrid>
      <w:tr w:rsidR="00D423B2" w:rsidRPr="00D423B2" w:rsidTr="00AA2976">
        <w:tc>
          <w:tcPr>
            <w:tcW w:w="425" w:type="dxa"/>
          </w:tcPr>
          <w:p w:rsidR="00396782" w:rsidRPr="00D423B2" w:rsidRDefault="00396782">
            <w:pPr>
              <w:rPr>
                <w:rFonts w:ascii="Times New Roman" w:hAnsi="Times New Roman" w:cs="Times New Roman"/>
                <w:sz w:val="24"/>
                <w:szCs w:val="24"/>
              </w:rPr>
            </w:pPr>
            <w:r w:rsidRPr="00D423B2">
              <w:rPr>
                <w:rFonts w:ascii="Times New Roman" w:hAnsi="Times New Roman" w:cs="Times New Roman"/>
                <w:sz w:val="24"/>
                <w:szCs w:val="24"/>
              </w:rPr>
              <w:t>№ п/п</w:t>
            </w:r>
          </w:p>
        </w:tc>
        <w:tc>
          <w:tcPr>
            <w:tcW w:w="5388" w:type="dxa"/>
          </w:tcPr>
          <w:p w:rsidR="00396782" w:rsidRPr="00D423B2" w:rsidRDefault="00396782" w:rsidP="00396782">
            <w:pPr>
              <w:jc w:val="center"/>
              <w:rPr>
                <w:rFonts w:ascii="Times New Roman" w:hAnsi="Times New Roman" w:cs="Times New Roman"/>
                <w:sz w:val="24"/>
                <w:szCs w:val="24"/>
              </w:rPr>
            </w:pPr>
            <w:r w:rsidRPr="00D423B2">
              <w:rPr>
                <w:rFonts w:ascii="Times New Roman" w:hAnsi="Times New Roman" w:cs="Times New Roman"/>
                <w:sz w:val="24"/>
                <w:szCs w:val="24"/>
              </w:rPr>
              <w:t>Действующая редакция</w:t>
            </w:r>
          </w:p>
        </w:tc>
        <w:tc>
          <w:tcPr>
            <w:tcW w:w="5244" w:type="dxa"/>
          </w:tcPr>
          <w:p w:rsidR="00396782" w:rsidRPr="00D423B2" w:rsidRDefault="00396782" w:rsidP="00396782">
            <w:pPr>
              <w:jc w:val="center"/>
              <w:rPr>
                <w:rFonts w:ascii="Times New Roman" w:hAnsi="Times New Roman" w:cs="Times New Roman"/>
                <w:sz w:val="24"/>
                <w:szCs w:val="24"/>
              </w:rPr>
            </w:pPr>
            <w:r w:rsidRPr="00D423B2">
              <w:rPr>
                <w:rFonts w:ascii="Times New Roman" w:eastAsia="Times New Roman" w:hAnsi="Times New Roman" w:cs="Times New Roman"/>
                <w:sz w:val="24"/>
                <w:szCs w:val="24"/>
                <w:lang w:eastAsia="ru-RU"/>
              </w:rPr>
              <w:t>Предлагаемые изменения</w:t>
            </w:r>
          </w:p>
        </w:tc>
        <w:tc>
          <w:tcPr>
            <w:tcW w:w="5245" w:type="dxa"/>
          </w:tcPr>
          <w:p w:rsidR="00396782" w:rsidRPr="00D423B2" w:rsidRDefault="00396782" w:rsidP="00396782">
            <w:pPr>
              <w:jc w:val="center"/>
              <w:rPr>
                <w:rFonts w:ascii="Times New Roman" w:hAnsi="Times New Roman" w:cs="Times New Roman"/>
                <w:sz w:val="24"/>
                <w:szCs w:val="24"/>
              </w:rPr>
            </w:pPr>
            <w:r w:rsidRPr="00D423B2">
              <w:rPr>
                <w:rFonts w:ascii="Times New Roman" w:eastAsia="Times New Roman" w:hAnsi="Times New Roman" w:cs="Times New Roman"/>
                <w:sz w:val="24"/>
                <w:szCs w:val="24"/>
                <w:lang w:eastAsia="ru-RU"/>
              </w:rPr>
              <w:t>Редакция с учетом предлагаемых изменений</w:t>
            </w:r>
          </w:p>
        </w:tc>
      </w:tr>
      <w:tr w:rsidR="00D423B2" w:rsidRPr="00A052B4" w:rsidTr="00AA2976">
        <w:tc>
          <w:tcPr>
            <w:tcW w:w="425" w:type="dxa"/>
          </w:tcPr>
          <w:p w:rsidR="00396782" w:rsidRPr="00D423B2" w:rsidRDefault="00A94606">
            <w:pPr>
              <w:rPr>
                <w:rFonts w:ascii="Times New Roman" w:hAnsi="Times New Roman" w:cs="Times New Roman"/>
                <w:sz w:val="24"/>
                <w:szCs w:val="24"/>
              </w:rPr>
            </w:pPr>
            <w:r w:rsidRPr="00D423B2">
              <w:rPr>
                <w:rFonts w:ascii="Times New Roman" w:hAnsi="Times New Roman" w:cs="Times New Roman"/>
                <w:sz w:val="24"/>
                <w:szCs w:val="24"/>
              </w:rPr>
              <w:t>1.</w:t>
            </w:r>
          </w:p>
        </w:tc>
        <w:tc>
          <w:tcPr>
            <w:tcW w:w="5388" w:type="dxa"/>
          </w:tcPr>
          <w:p w:rsidR="00A94606" w:rsidRPr="00D423B2" w:rsidRDefault="00A94606" w:rsidP="00636430">
            <w:pPr>
              <w:pStyle w:val="ConsPlusNormal"/>
              <w:ind w:firstLine="540"/>
              <w:jc w:val="center"/>
              <w:rPr>
                <w:rFonts w:ascii="Times New Roman" w:hAnsi="Times New Roman" w:cs="Times New Roman"/>
                <w:b/>
                <w:sz w:val="24"/>
                <w:szCs w:val="24"/>
              </w:rPr>
            </w:pPr>
          </w:p>
          <w:p w:rsidR="00A94606" w:rsidRPr="00D423B2" w:rsidRDefault="00542DA3" w:rsidP="00A94606">
            <w:pPr>
              <w:pStyle w:val="ConsPlusNormal"/>
              <w:ind w:firstLine="540"/>
              <w:jc w:val="right"/>
              <w:rPr>
                <w:rFonts w:ascii="Times New Roman" w:hAnsi="Times New Roman" w:cs="Times New Roman"/>
                <w:szCs w:val="22"/>
              </w:rPr>
            </w:pPr>
            <w:r w:rsidRPr="00D423B2">
              <w:rPr>
                <w:rFonts w:ascii="Times New Roman" w:hAnsi="Times New Roman" w:cs="Times New Roman"/>
                <w:b/>
                <w:sz w:val="24"/>
                <w:szCs w:val="24"/>
              </w:rPr>
              <w:t xml:space="preserve">         </w:t>
            </w:r>
            <w:r w:rsidR="00A94606" w:rsidRPr="00D423B2">
              <w:rPr>
                <w:rFonts w:ascii="Times New Roman" w:hAnsi="Times New Roman" w:cs="Times New Roman"/>
                <w:szCs w:val="22"/>
              </w:rPr>
              <w:t>Приложение</w:t>
            </w:r>
            <w:r w:rsidR="00B7128C">
              <w:rPr>
                <w:rFonts w:ascii="Times New Roman" w:hAnsi="Times New Roman" w:cs="Times New Roman"/>
                <w:szCs w:val="22"/>
              </w:rPr>
              <w:t xml:space="preserve"> 1</w:t>
            </w:r>
          </w:p>
          <w:p w:rsidR="00A94606" w:rsidRPr="00D423B2" w:rsidRDefault="00A94606" w:rsidP="00A94606">
            <w:pPr>
              <w:pStyle w:val="ConsPlusNormal"/>
              <w:ind w:firstLine="540"/>
              <w:jc w:val="right"/>
              <w:rPr>
                <w:rFonts w:ascii="Times New Roman" w:hAnsi="Times New Roman" w:cs="Times New Roman"/>
                <w:szCs w:val="22"/>
              </w:rPr>
            </w:pPr>
            <w:r w:rsidRPr="00D423B2">
              <w:rPr>
                <w:rFonts w:ascii="Times New Roman" w:hAnsi="Times New Roman" w:cs="Times New Roman"/>
                <w:szCs w:val="22"/>
              </w:rPr>
              <w:t xml:space="preserve">          к Закону Республики Татарстан </w:t>
            </w:r>
          </w:p>
          <w:p w:rsidR="00A94606" w:rsidRPr="00D423B2" w:rsidRDefault="00A94606" w:rsidP="00A94606">
            <w:pPr>
              <w:pStyle w:val="ConsPlusNormal"/>
              <w:ind w:firstLine="540"/>
              <w:jc w:val="right"/>
              <w:rPr>
                <w:rFonts w:ascii="Times New Roman" w:hAnsi="Times New Roman" w:cs="Times New Roman"/>
                <w:szCs w:val="22"/>
              </w:rPr>
            </w:pPr>
            <w:r w:rsidRPr="00D423B2">
              <w:rPr>
                <w:rFonts w:ascii="Times New Roman" w:hAnsi="Times New Roman" w:cs="Times New Roman"/>
                <w:szCs w:val="22"/>
              </w:rPr>
              <w:t xml:space="preserve">         «Об утверждении Стратегии развития </w:t>
            </w:r>
          </w:p>
          <w:p w:rsidR="00A94606" w:rsidRPr="00D423B2" w:rsidRDefault="00A94606" w:rsidP="00A94606">
            <w:pPr>
              <w:pStyle w:val="ConsPlusNormal"/>
              <w:ind w:firstLine="540"/>
              <w:jc w:val="right"/>
              <w:rPr>
                <w:rFonts w:ascii="Times New Roman" w:hAnsi="Times New Roman" w:cs="Times New Roman"/>
                <w:szCs w:val="22"/>
              </w:rPr>
            </w:pPr>
            <w:r w:rsidRPr="00D423B2">
              <w:rPr>
                <w:rFonts w:ascii="Times New Roman" w:hAnsi="Times New Roman" w:cs="Times New Roman"/>
                <w:szCs w:val="22"/>
              </w:rPr>
              <w:t>топливно-энергетического комплекса</w:t>
            </w:r>
          </w:p>
          <w:p w:rsidR="00A94606" w:rsidRPr="00D423B2" w:rsidRDefault="00A94606" w:rsidP="00A94606">
            <w:pPr>
              <w:pStyle w:val="ConsPlusNormal"/>
              <w:ind w:firstLine="540"/>
              <w:jc w:val="right"/>
              <w:rPr>
                <w:rFonts w:ascii="Times New Roman" w:hAnsi="Times New Roman" w:cs="Times New Roman"/>
                <w:szCs w:val="22"/>
              </w:rPr>
            </w:pPr>
            <w:r w:rsidRPr="00D423B2">
              <w:rPr>
                <w:rFonts w:ascii="Times New Roman" w:hAnsi="Times New Roman" w:cs="Times New Roman"/>
                <w:szCs w:val="22"/>
              </w:rPr>
              <w:t>Татарстан на период до 2030 года»</w:t>
            </w:r>
          </w:p>
          <w:p w:rsidR="00A94606" w:rsidRPr="00D423B2" w:rsidRDefault="00A94606" w:rsidP="00636430">
            <w:pPr>
              <w:pStyle w:val="ConsPlusNormal"/>
              <w:ind w:firstLine="540"/>
              <w:jc w:val="center"/>
              <w:rPr>
                <w:rFonts w:ascii="Times New Roman" w:hAnsi="Times New Roman" w:cs="Times New Roman"/>
                <w:b/>
                <w:sz w:val="24"/>
                <w:szCs w:val="24"/>
              </w:rPr>
            </w:pPr>
          </w:p>
          <w:p w:rsidR="00A94606" w:rsidRPr="00D423B2" w:rsidRDefault="00A94606" w:rsidP="00636430">
            <w:pPr>
              <w:pStyle w:val="ConsPlusNormal"/>
              <w:ind w:firstLine="540"/>
              <w:jc w:val="center"/>
              <w:rPr>
                <w:rFonts w:ascii="Times New Roman" w:hAnsi="Times New Roman" w:cs="Times New Roman"/>
                <w:b/>
                <w:sz w:val="24"/>
                <w:szCs w:val="24"/>
              </w:rPr>
            </w:pPr>
            <w:r w:rsidRPr="00D423B2">
              <w:rPr>
                <w:rFonts w:ascii="Times New Roman" w:hAnsi="Times New Roman" w:cs="Times New Roman"/>
                <w:b/>
                <w:sz w:val="24"/>
                <w:szCs w:val="24"/>
              </w:rPr>
              <w:t>Стратегия развития топливно-энергетического комплекса Республики Татарстан</w:t>
            </w:r>
          </w:p>
          <w:p w:rsidR="00A94606" w:rsidRPr="00D423B2" w:rsidRDefault="00A94606" w:rsidP="00A94606">
            <w:pPr>
              <w:pStyle w:val="ConsPlusNormal"/>
              <w:rPr>
                <w:rFonts w:ascii="Times New Roman" w:hAnsi="Times New Roman" w:cs="Times New Roman"/>
                <w:b/>
                <w:sz w:val="24"/>
                <w:szCs w:val="24"/>
              </w:rPr>
            </w:pPr>
          </w:p>
          <w:p w:rsidR="00636430" w:rsidRPr="00D423B2" w:rsidRDefault="00636430" w:rsidP="00636430">
            <w:pPr>
              <w:pStyle w:val="ConsPlusNormal"/>
              <w:ind w:firstLine="540"/>
              <w:jc w:val="center"/>
              <w:rPr>
                <w:rFonts w:ascii="Times New Roman" w:hAnsi="Times New Roman" w:cs="Times New Roman"/>
                <w:b/>
                <w:sz w:val="24"/>
                <w:szCs w:val="24"/>
              </w:rPr>
            </w:pPr>
            <w:r w:rsidRPr="00D423B2">
              <w:rPr>
                <w:rFonts w:ascii="Times New Roman" w:hAnsi="Times New Roman" w:cs="Times New Roman"/>
                <w:b/>
                <w:sz w:val="24"/>
                <w:szCs w:val="24"/>
                <w:lang w:val="en-US"/>
              </w:rPr>
              <w:t>I</w:t>
            </w:r>
            <w:r w:rsidRPr="00D423B2">
              <w:rPr>
                <w:rFonts w:ascii="Times New Roman" w:hAnsi="Times New Roman" w:cs="Times New Roman"/>
                <w:b/>
                <w:sz w:val="24"/>
                <w:szCs w:val="24"/>
              </w:rPr>
              <w:t>.Общие положения</w:t>
            </w:r>
          </w:p>
          <w:p w:rsidR="00636430" w:rsidRPr="00D423B2" w:rsidRDefault="00636430" w:rsidP="00636430">
            <w:pPr>
              <w:pStyle w:val="ConsPlusNormal"/>
              <w:ind w:firstLine="540"/>
              <w:jc w:val="both"/>
              <w:rPr>
                <w:rFonts w:ascii="Times New Roman" w:hAnsi="Times New Roman" w:cs="Times New Roman"/>
                <w:sz w:val="24"/>
                <w:szCs w:val="24"/>
              </w:rPr>
            </w:pP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Настоящая Стратегия развития топливно-энергетического комплекса Республики Татарстан на период до 2030 года (далее - Стратегия) определяет цели и задачи долгосрочного развития топливно-энергетического комплекса Республики Татарстан на период до 2030 года как основы обеспечения роста валового регионального продукта и благосостояния населения при максимально эффективном использовании топливно-энергетических ресурсов.</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 разработке Стратегии учитывались нижеизложенные факторы.</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Существенная трансформация на мировых </w:t>
            </w:r>
            <w:r w:rsidRPr="00D423B2">
              <w:rPr>
                <w:rFonts w:ascii="Times New Roman" w:hAnsi="Times New Roman" w:cs="Times New Roman"/>
                <w:sz w:val="24"/>
                <w:szCs w:val="24"/>
              </w:rPr>
              <w:lastRenderedPageBreak/>
              <w:t>рынках, связанная с появлением на рынке сланцевого газа и переориентацией ряда крупных стран-импортеров энергоресурсов на энергетическое самообеспечение, отсутствие в Российской Федерации положительной динамики по повышению коэффициента извлечения нефти (далее - КИН) и глубины переработки нефти, замедление темпов экономического роста в Российской Федерации привели к необходимости актуализации программных отраслевых документов, принятых ранее Правительством Российской Федерации.</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частности, Правительством Российской Федерации пересматривается принятая в 2009 году Энергетическая стратегия Российской Федерации на период до 2030 года. В дальнейшем после принятия в III - IV кварталах 2015 года Энергетической стратегии России на период до 2035 года будут актуализироваться генеральные схемы и программы развития отраслей топливно-энергетического комплекса - нефтяной, газовой, угольной и электроэнергетики. Экспертами Института энергетических исследований Российской академии наук и Аналитического центра при Правительстве Российской Федерации проанализированы ключевые тенденции развития мировой энергетики и возможные риски для российского топливно-энергетического комплекса и экономики страны в целом в долгосрочной перспективе.</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Отмечается:</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сохранение структуры мирового потребления топлива, доминирующего положения углеводородного сырья (53,6 процента в 2010 году и 51,4 процента в 2040 году);</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lastRenderedPageBreak/>
              <w:t>рост доли природного газа с 21 процента в 2010 году до 25 процентов в 2040 году в топливной корзине, прежде всего, за счет роста на 60 процентов (до 5,3 трлн куб. метров в год) объема мирового потребления. Доля сланцевого газа составит около 11 процентов в общем объеме газодобычи. Высокая динамика развития рынка сжиженного природного газа, в особенности в странах Северо-Восточной Азии;</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высокие темпы роста доли энергии, производимой на основе возобновляемых источников, - 3,7 процента в 2010 году и 12,5 процента к 2040 году, сохранение на уровне 6 процентов доли атомной энергетики, сокращение с 28 до 25 процентов доли угля;</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усиление тенденций регионализации рынков нефти и газа, рост экономик и доли развивающихся стран в мировом энергопотреблении.</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Российская Федерация входит в число ведущих мировых стран - производителей нефтепродуктов. В 2014 году переработку нефти и газового конденсата на территории страны и промышленное производство товарных нефтепродуктов осуществляли 68 специализированных нефтеперерабатывающих предприятий с суммарной мощностью по первичной переработке нефтяного сырья 299 млн тонн в год. По данному показателю согласно статистическому обзору мировой энергетики 2014 года, подготовленному "Бритиш Петролеум", Российская Федерация находится на третьем месте в мире после США и Китая.</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Вместе с тем нефтеперерабатывающая отрасль Российской Федерации характеризуется </w:t>
            </w:r>
            <w:r w:rsidRPr="00D423B2">
              <w:rPr>
                <w:rFonts w:ascii="Times New Roman" w:hAnsi="Times New Roman" w:cs="Times New Roman"/>
                <w:sz w:val="24"/>
                <w:szCs w:val="24"/>
              </w:rPr>
              <w:lastRenderedPageBreak/>
              <w:t>значительным износом основных производственных фондов, а также низкой глубиной переработки нефти (72,4 процента по итогам 2014 года), несмотря на продолжающуюся модернизацию нефтеперерабатывающих производств в стране. Кроме того, сохраняются неэффективная территориальная структура, низкий уровень технологической сложности действующих перерабатывающих мощностей. В частности, по коэффициенту сложности Нельсона (NCI) нефтеперерабатывающие производства Российской Федерации отстают от ведущих мировых производителей нефтепродуктов. Индекс NCI для нефтеперерабатывающих заводов (далее - НПЗ) США достигает 9,6, Европы - 6,5, тогда как у российских НПЗ данный показатель составляет в среднем не более 5,1.</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Стратегия Российской Федерации, направленная на углубление переработки углеводородного сырья, модернизацию отечественной промышленности, требует от нефтепереработчиков и нефтехимиков эффективных действий для удовлетворения потребностей внутреннего рынка в высококачественных и обладающих высокой добавленной стоимостью нефтепродуктах как альтернативы экспорту нефти. Поэтому в 2011 году крупнейшими нефтяными компаниями страны, Федеральной антимонопольной службой, Ростехнадзором и Росстандартом были подписаны четырехсторонние соглашения по технологическому перевооружению и модернизации нефтеперерабатывающих производств.</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К числу важнейших задач по модернизации </w:t>
            </w:r>
            <w:r w:rsidRPr="00D423B2">
              <w:rPr>
                <w:rFonts w:ascii="Times New Roman" w:hAnsi="Times New Roman" w:cs="Times New Roman"/>
                <w:sz w:val="24"/>
                <w:szCs w:val="24"/>
              </w:rPr>
              <w:lastRenderedPageBreak/>
              <w:t>предприятий нефтеперерабатывающей и нефтехимической промышленности Российской Федерации относятся:</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переход от торговли сырой нефтью к торговле нефтепродуктами и продуктами нефтехимии;</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производство нефтепродуктов, соответствующих действующим требованиям экологических стандартов;</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модернизация действующих предприятий, строительство новых производств в целях увеличения глубины и комплексности переработки углеводородного сырья;</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развитие отечественных технологий переработки газового и нефтяного сырья.</w:t>
            </w:r>
          </w:p>
          <w:p w:rsidR="00636430" w:rsidRPr="00D423B2" w:rsidRDefault="00636430" w:rsidP="0063643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Настоящая Стратегия учитывает основные положения </w:t>
            </w:r>
            <w:hyperlink r:id="rId7" w:history="1">
              <w:r w:rsidRPr="00D423B2">
                <w:rPr>
                  <w:rFonts w:ascii="Times New Roman" w:hAnsi="Times New Roman" w:cs="Times New Roman"/>
                  <w:sz w:val="24"/>
                  <w:szCs w:val="24"/>
                </w:rPr>
                <w:t>Программы</w:t>
              </w:r>
            </w:hyperlink>
            <w:r w:rsidRPr="00D423B2">
              <w:rPr>
                <w:rFonts w:ascii="Times New Roman" w:hAnsi="Times New Roman" w:cs="Times New Roman"/>
                <w:sz w:val="24"/>
                <w:szCs w:val="24"/>
              </w:rPr>
              <w:t xml:space="preserve"> развития топливно-энергетического комплекса Республики Татарстан на 2006 - 2020 годы и в то же время актуализирует целевые показатели развития отраслей топливно-энергетического комплекса республики на основе достигнутых результатов и отраслевых трендов. Так, например, внедрение предприятиями нефтяной промышленности Республики Татарстан новых технологий в процессах добычи нефти, в том числе высоковязкой, и геологоразведки обеспечило уже в период с 2006 по 2013 год добычу нефти в объеме 259,7 млн тонн и прирост запасов углеводородного сырья в объеме 304,4 млн тонн (при плановых объемах 246,7 и 259 млн тонн соответственно).</w:t>
            </w:r>
          </w:p>
          <w:p w:rsidR="00396782" w:rsidRPr="00D423B2" w:rsidRDefault="00636430" w:rsidP="00636430">
            <w:pPr>
              <w:jc w:val="both"/>
              <w:rPr>
                <w:rFonts w:ascii="Times New Roman" w:hAnsi="Times New Roman" w:cs="Times New Roman"/>
                <w:sz w:val="24"/>
                <w:szCs w:val="24"/>
              </w:rPr>
            </w:pPr>
            <w:r w:rsidRPr="00D423B2">
              <w:rPr>
                <w:rFonts w:ascii="Times New Roman" w:hAnsi="Times New Roman" w:cs="Times New Roman"/>
                <w:sz w:val="24"/>
                <w:szCs w:val="24"/>
              </w:rPr>
              <w:t xml:space="preserve">        Таким образом, бурное развитие в мире добычи трудноизвлекаемых запасов нефти и нетрадиционных источников углеводородов, истощение в Республике Татарстан запасов </w:t>
            </w:r>
            <w:r w:rsidRPr="00D423B2">
              <w:rPr>
                <w:rFonts w:ascii="Times New Roman" w:hAnsi="Times New Roman" w:cs="Times New Roman"/>
                <w:sz w:val="24"/>
                <w:szCs w:val="24"/>
              </w:rPr>
              <w:lastRenderedPageBreak/>
              <w:t>"легкой" нефти, разработка и внедрение новых технологий в нефтепереработке, продолжение реформирования российской энергетической системы привели к необходимости разработки настоящей Стратегии.</w:t>
            </w:r>
          </w:p>
          <w:p w:rsidR="006B124A" w:rsidRPr="00D423B2" w:rsidRDefault="006B124A" w:rsidP="00636430">
            <w:pPr>
              <w:jc w:val="both"/>
              <w:rPr>
                <w:rFonts w:ascii="Times New Roman" w:hAnsi="Times New Roman" w:cs="Times New Roman"/>
                <w:sz w:val="24"/>
                <w:szCs w:val="24"/>
              </w:rPr>
            </w:pPr>
          </w:p>
          <w:p w:rsidR="006B124A" w:rsidRPr="00D423B2" w:rsidRDefault="006B124A" w:rsidP="006B124A">
            <w:pPr>
              <w:jc w:val="both"/>
              <w:rPr>
                <w:rFonts w:ascii="Times New Roman" w:hAnsi="Times New Roman" w:cs="Times New Roman"/>
                <w:b/>
                <w:sz w:val="24"/>
                <w:szCs w:val="24"/>
              </w:rPr>
            </w:pPr>
            <w:r w:rsidRPr="00D423B2">
              <w:rPr>
                <w:rFonts w:ascii="Times New Roman" w:hAnsi="Times New Roman" w:cs="Times New Roman"/>
                <w:b/>
                <w:sz w:val="24"/>
                <w:szCs w:val="24"/>
              </w:rPr>
              <w:t>II. Цели, задачи и механизмы государственной энергетической политики Республики Татарстан</w:t>
            </w:r>
          </w:p>
          <w:p w:rsidR="006B124A" w:rsidRPr="00D423B2" w:rsidRDefault="006B124A" w:rsidP="006B124A">
            <w:pPr>
              <w:jc w:val="both"/>
              <w:rPr>
                <w:rFonts w:ascii="Times New Roman" w:hAnsi="Times New Roman" w:cs="Times New Roman"/>
                <w:sz w:val="24"/>
                <w:szCs w:val="24"/>
              </w:rPr>
            </w:pPr>
            <w:r w:rsidRPr="00D423B2">
              <w:rPr>
                <w:rFonts w:ascii="Times New Roman" w:hAnsi="Times New Roman" w:cs="Times New Roman"/>
                <w:sz w:val="24"/>
                <w:szCs w:val="24"/>
              </w:rPr>
              <w:t xml:space="preserve">       Целью настоящей Стратегии является обеспечение устойчивого развития минерально-сырьевой базы топливно-энергетического комплекса Республики Татарстан и максимально эффективного использования топливно-энергетических ресурсов и потенциала энергетического сектора для обеспечения роста валового регионального продукта и повышения качества жизни населения республики.</w:t>
            </w:r>
          </w:p>
          <w:p w:rsidR="006B124A" w:rsidRPr="00D423B2" w:rsidRDefault="006B124A" w:rsidP="006B124A">
            <w:pPr>
              <w:jc w:val="both"/>
              <w:rPr>
                <w:rFonts w:ascii="Times New Roman" w:hAnsi="Times New Roman" w:cs="Times New Roman"/>
                <w:sz w:val="24"/>
                <w:szCs w:val="24"/>
              </w:rPr>
            </w:pPr>
            <w:r w:rsidRPr="00D423B2">
              <w:rPr>
                <w:rFonts w:ascii="Times New Roman" w:hAnsi="Times New Roman" w:cs="Times New Roman"/>
                <w:sz w:val="24"/>
                <w:szCs w:val="24"/>
              </w:rPr>
              <w:t>Для достижения указанной цели и удовлетворения внутреннего и внешнего спроса на энергоресурсы требуется решение следующих основных задач:</w:t>
            </w:r>
          </w:p>
          <w:p w:rsidR="006B124A" w:rsidRPr="00D423B2" w:rsidRDefault="006B124A" w:rsidP="006B124A">
            <w:pPr>
              <w:jc w:val="both"/>
              <w:rPr>
                <w:rFonts w:ascii="Times New Roman" w:hAnsi="Times New Roman" w:cs="Times New Roman"/>
                <w:sz w:val="24"/>
                <w:szCs w:val="24"/>
              </w:rPr>
            </w:pPr>
            <w:r w:rsidRPr="00D423B2">
              <w:rPr>
                <w:rFonts w:ascii="Times New Roman" w:hAnsi="Times New Roman" w:cs="Times New Roman"/>
                <w:sz w:val="24"/>
                <w:szCs w:val="24"/>
              </w:rPr>
              <w:t>повышение эффективности геологоразведочных работ, обеспечение рационального недропользования на основе внедрения инновационных технологий полного, энерго- и ресурсосберегающего извлечения углеводородного сырья из недр и его комплексной, глубокой переработки;</w:t>
            </w:r>
          </w:p>
          <w:p w:rsidR="006B124A" w:rsidRPr="00D423B2" w:rsidRDefault="006B124A" w:rsidP="006B124A">
            <w:pPr>
              <w:jc w:val="both"/>
              <w:rPr>
                <w:rFonts w:ascii="Times New Roman" w:hAnsi="Times New Roman" w:cs="Times New Roman"/>
                <w:sz w:val="24"/>
                <w:szCs w:val="24"/>
              </w:rPr>
            </w:pPr>
            <w:r w:rsidRPr="00D423B2">
              <w:rPr>
                <w:rFonts w:ascii="Times New Roman" w:hAnsi="Times New Roman" w:cs="Times New Roman"/>
                <w:sz w:val="24"/>
                <w:szCs w:val="24"/>
              </w:rPr>
              <w:t>развитие рынка сервисных и инжиниринговых услуг, предоставляемых отечественными компаниями в сфере недропользования;</w:t>
            </w:r>
          </w:p>
          <w:p w:rsidR="006B124A" w:rsidRPr="00D423B2" w:rsidRDefault="006B124A" w:rsidP="006B124A">
            <w:pPr>
              <w:jc w:val="both"/>
              <w:rPr>
                <w:rFonts w:ascii="Times New Roman" w:hAnsi="Times New Roman" w:cs="Times New Roman"/>
                <w:sz w:val="24"/>
                <w:szCs w:val="24"/>
              </w:rPr>
            </w:pPr>
            <w:r w:rsidRPr="00D423B2">
              <w:rPr>
                <w:rFonts w:ascii="Times New Roman" w:hAnsi="Times New Roman" w:cs="Times New Roman"/>
                <w:sz w:val="24"/>
                <w:szCs w:val="24"/>
              </w:rPr>
              <w:t>модернизация существующей и создание новой отраслевой энергетической инфраструктуры промышленной и социальной сферы Республики Татарстан;</w:t>
            </w:r>
          </w:p>
          <w:p w:rsidR="006B124A" w:rsidRPr="00D423B2" w:rsidRDefault="006B124A" w:rsidP="006B124A">
            <w:pPr>
              <w:jc w:val="both"/>
              <w:rPr>
                <w:rFonts w:ascii="Times New Roman" w:hAnsi="Times New Roman" w:cs="Times New Roman"/>
                <w:sz w:val="24"/>
                <w:szCs w:val="24"/>
              </w:rPr>
            </w:pPr>
            <w:r w:rsidRPr="00D423B2">
              <w:rPr>
                <w:rFonts w:ascii="Times New Roman" w:hAnsi="Times New Roman" w:cs="Times New Roman"/>
                <w:sz w:val="24"/>
                <w:szCs w:val="24"/>
              </w:rPr>
              <w:lastRenderedPageBreak/>
              <w:t>дальнейшее совершенствование отраслевого налогового законодательства как инструмента, стимулирующего деятельность хозяйствующих субъектов в инвестиционной, инновационной, энергосберегающей и экологической сферах.</w:t>
            </w:r>
          </w:p>
          <w:p w:rsidR="006B124A" w:rsidRPr="00D423B2" w:rsidRDefault="006B124A" w:rsidP="006B124A">
            <w:pPr>
              <w:jc w:val="both"/>
              <w:rPr>
                <w:rFonts w:ascii="Times New Roman" w:hAnsi="Times New Roman" w:cs="Times New Roman"/>
                <w:sz w:val="24"/>
                <w:szCs w:val="24"/>
              </w:rPr>
            </w:pPr>
            <w:r w:rsidRPr="00D423B2">
              <w:rPr>
                <w:rFonts w:ascii="Times New Roman" w:hAnsi="Times New Roman" w:cs="Times New Roman"/>
                <w:sz w:val="24"/>
                <w:szCs w:val="24"/>
              </w:rPr>
              <w:t>Кроме того, для максимально эффективного использования топливно-энергетических ресурсов и потенциала энергетического сектора необходимо обеспечить:</w:t>
            </w:r>
          </w:p>
          <w:p w:rsidR="006B124A" w:rsidRPr="00D423B2" w:rsidRDefault="006B124A" w:rsidP="006B124A">
            <w:pPr>
              <w:jc w:val="both"/>
              <w:rPr>
                <w:rFonts w:ascii="Times New Roman" w:hAnsi="Times New Roman" w:cs="Times New Roman"/>
                <w:sz w:val="24"/>
                <w:szCs w:val="24"/>
              </w:rPr>
            </w:pPr>
            <w:r w:rsidRPr="00D423B2">
              <w:rPr>
                <w:rFonts w:ascii="Times New Roman" w:hAnsi="Times New Roman" w:cs="Times New Roman"/>
                <w:sz w:val="24"/>
                <w:szCs w:val="24"/>
              </w:rPr>
              <w:t>нормативную надежность работы производственной структуры энергетического сектора за счет достаточных резервов производственной мощности, пропускной способности энергетических коммуникаций и создания рациональных резервов топлива;</w:t>
            </w:r>
          </w:p>
          <w:p w:rsidR="003854DF" w:rsidRDefault="006B124A" w:rsidP="003854DF">
            <w:pPr>
              <w:jc w:val="both"/>
              <w:rPr>
                <w:rFonts w:ascii="Times New Roman" w:hAnsi="Times New Roman" w:cs="Times New Roman"/>
                <w:sz w:val="24"/>
                <w:szCs w:val="24"/>
              </w:rPr>
            </w:pPr>
            <w:r w:rsidRPr="00D423B2">
              <w:rPr>
                <w:rFonts w:ascii="Times New Roman" w:hAnsi="Times New Roman" w:cs="Times New Roman"/>
                <w:sz w:val="24"/>
                <w:szCs w:val="24"/>
              </w:rPr>
              <w:t xml:space="preserve">уменьшение энергоемкости и электроемкости валового регионального продукта за счет совершенствования структуры и технологического обновления отраслей </w:t>
            </w:r>
            <w:r w:rsidRPr="003854DF">
              <w:rPr>
                <w:rFonts w:ascii="Times New Roman" w:hAnsi="Times New Roman" w:cs="Times New Roman"/>
                <w:sz w:val="24"/>
                <w:szCs w:val="24"/>
              </w:rPr>
              <w:t>экономики.</w:t>
            </w:r>
          </w:p>
          <w:p w:rsidR="003854DF" w:rsidRPr="003854DF" w:rsidRDefault="003854DF" w:rsidP="003854DF">
            <w:pPr>
              <w:jc w:val="both"/>
              <w:rPr>
                <w:rFonts w:ascii="Times New Roman" w:hAnsi="Times New Roman" w:cs="Times New Roman"/>
                <w:sz w:val="24"/>
                <w:szCs w:val="24"/>
              </w:rPr>
            </w:pPr>
            <w:r>
              <w:rPr>
                <w:rFonts w:ascii="Times New Roman" w:hAnsi="Times New Roman" w:cs="Times New Roman"/>
                <w:sz w:val="24"/>
                <w:szCs w:val="24"/>
              </w:rPr>
              <w:t xml:space="preserve">         </w:t>
            </w:r>
            <w:r w:rsidR="00CA0614" w:rsidRPr="003854DF">
              <w:rPr>
                <w:rFonts w:ascii="Times New Roman" w:hAnsi="Times New Roman" w:cs="Times New Roman"/>
                <w:sz w:val="24"/>
                <w:szCs w:val="24"/>
              </w:rPr>
              <w:t xml:space="preserve"> </w:t>
            </w:r>
            <w:r w:rsidRPr="003854DF">
              <w:rPr>
                <w:rFonts w:ascii="Times New Roman" w:hAnsi="Times New Roman" w:cs="Times New Roman"/>
              </w:rPr>
              <w:t>Поставленные задачи будут решаться с использованием следующих мер и механизмов государственной энергетической политики в пределах полномочий Республики Татарстан:</w:t>
            </w:r>
          </w:p>
          <w:p w:rsidR="003854DF" w:rsidRP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t>применение института государственного представительства в органах управления предприятий топливно-энергетического комплекса для обеспечения достижения целевых показателей, установленных в настоящей Стратегии;</w:t>
            </w:r>
          </w:p>
          <w:p w:rsidR="003854DF" w:rsidRP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t>совершенствование мер законодательного регулирования в вопросе предоставления земельных участков для целей недропользования;</w:t>
            </w:r>
          </w:p>
          <w:p w:rsidR="003854DF" w:rsidRP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t>применение налогового стимулирования при реализации предприятиями топливно-энергетического комплекса приоритетных инвестиционных и инновационных проектов;</w:t>
            </w:r>
          </w:p>
          <w:p w:rsidR="003854DF" w:rsidRP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lastRenderedPageBreak/>
              <w:t>ликвидация сетевых ограничений для конкуренции на рынке электроэнергии (мощности);</w:t>
            </w:r>
          </w:p>
          <w:p w:rsidR="003854DF" w:rsidRP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t>содействие переводу оборудования на существующих котельных на газотурбинное оборудование, обеспечивающее комбинированное производство электрической и тепловой энергии;</w:t>
            </w:r>
          </w:p>
          <w:p w:rsidR="003854DF" w:rsidRP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t>внедрение системы экономической мотивации энергосбережения через разработку нормативов и целевых показателей энергоэффективности;</w:t>
            </w:r>
          </w:p>
          <w:p w:rsid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t>стимулирование использования газомоторного топлива вместо традиционных нефтяных видов для автомобильного транспорта через расширение существующей сети автомобильных газонаполнительных компрессорных станций;</w:t>
            </w:r>
          </w:p>
          <w:p w:rsidR="003854DF" w:rsidRP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t>инициирование принятия нормативных правовых актов, направленных на развитие и модернизацию предприятий топливно-энергетического комплекса;</w:t>
            </w:r>
          </w:p>
          <w:p w:rsid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t>стимулирование к применению на производстве экологических стандартов в целях уменьшения негативного влияния добычи, производства, транспортировки и потребления энергоресурсов на окружающую среду, климат и здоровье людей;</w:t>
            </w:r>
          </w:p>
          <w:p w:rsid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t>обеспечение глубокой модернизации отраслей топливно-энергетического комплекса и энергетической инфраструктуры, в том числе за счет расширения использования механизма государственно-частного партнерства;</w:t>
            </w:r>
          </w:p>
          <w:p w:rsidR="003854DF" w:rsidRPr="003854DF" w:rsidRDefault="003854DF" w:rsidP="003854DF">
            <w:pPr>
              <w:pStyle w:val="ConsPlusNormal"/>
              <w:ind w:firstLine="540"/>
              <w:jc w:val="both"/>
              <w:rPr>
                <w:rFonts w:ascii="Times New Roman" w:hAnsi="Times New Roman" w:cs="Times New Roman"/>
              </w:rPr>
            </w:pPr>
            <w:r w:rsidRPr="003854DF">
              <w:rPr>
                <w:rFonts w:ascii="Times New Roman" w:hAnsi="Times New Roman" w:cs="Times New Roman"/>
              </w:rPr>
              <w:t>содействие предприятиям топливно-энергетического комплекса Республики Татарстан во включении их в федеральные целевые и государственные программы.</w:t>
            </w:r>
          </w:p>
          <w:p w:rsidR="006B124A" w:rsidRPr="00D423B2" w:rsidRDefault="006B124A" w:rsidP="006B124A">
            <w:pPr>
              <w:jc w:val="both"/>
              <w:rPr>
                <w:rFonts w:ascii="Times New Roman" w:hAnsi="Times New Roman" w:cs="Times New Roman"/>
                <w:sz w:val="24"/>
                <w:szCs w:val="24"/>
              </w:rPr>
            </w:pPr>
          </w:p>
          <w:p w:rsidR="001D490F" w:rsidRPr="00D423B2" w:rsidRDefault="001D490F" w:rsidP="00C84271">
            <w:pPr>
              <w:pStyle w:val="a4"/>
              <w:numPr>
                <w:ilvl w:val="0"/>
                <w:numId w:val="1"/>
              </w:numPr>
              <w:jc w:val="both"/>
              <w:rPr>
                <w:rFonts w:ascii="Times New Roman" w:hAnsi="Times New Roman" w:cs="Times New Roman"/>
                <w:b/>
                <w:sz w:val="24"/>
                <w:szCs w:val="24"/>
              </w:rPr>
            </w:pPr>
            <w:r w:rsidRPr="00D423B2">
              <w:rPr>
                <w:rFonts w:ascii="Times New Roman" w:hAnsi="Times New Roman" w:cs="Times New Roman"/>
                <w:b/>
                <w:sz w:val="24"/>
                <w:szCs w:val="24"/>
              </w:rPr>
              <w:t>Развитие нефтегазового комплекса Республики Татарстан</w:t>
            </w:r>
          </w:p>
          <w:p w:rsidR="001D490F" w:rsidRPr="00D423B2" w:rsidRDefault="001D490F" w:rsidP="001D490F">
            <w:pPr>
              <w:pStyle w:val="ConsPlusNormal"/>
              <w:ind w:firstLine="540"/>
              <w:rPr>
                <w:rFonts w:ascii="Times New Roman" w:hAnsi="Times New Roman" w:cs="Times New Roman"/>
                <w:b/>
                <w:sz w:val="24"/>
                <w:szCs w:val="24"/>
              </w:rPr>
            </w:pPr>
          </w:p>
          <w:p w:rsidR="00535A82" w:rsidRDefault="00535A82" w:rsidP="001D490F">
            <w:pPr>
              <w:pStyle w:val="ConsPlusNormal"/>
              <w:ind w:firstLine="540"/>
              <w:rPr>
                <w:rFonts w:ascii="Times New Roman" w:hAnsi="Times New Roman" w:cs="Times New Roman"/>
                <w:b/>
                <w:sz w:val="24"/>
                <w:szCs w:val="24"/>
              </w:rPr>
            </w:pPr>
          </w:p>
          <w:p w:rsidR="001D490F" w:rsidRPr="00D423B2" w:rsidRDefault="001D490F" w:rsidP="001D490F">
            <w:pPr>
              <w:pStyle w:val="ConsPlusNormal"/>
              <w:ind w:firstLine="540"/>
              <w:rPr>
                <w:rFonts w:ascii="Times New Roman" w:hAnsi="Times New Roman" w:cs="Times New Roman"/>
                <w:b/>
                <w:sz w:val="24"/>
                <w:szCs w:val="24"/>
              </w:rPr>
            </w:pPr>
            <w:r w:rsidRPr="00D423B2">
              <w:rPr>
                <w:rFonts w:ascii="Times New Roman" w:hAnsi="Times New Roman" w:cs="Times New Roman"/>
                <w:b/>
                <w:sz w:val="24"/>
                <w:szCs w:val="24"/>
              </w:rPr>
              <w:lastRenderedPageBreak/>
              <w:t>3.1. Общая характеристика нефтегазового комплекса Республики Татарстан</w:t>
            </w:r>
          </w:p>
          <w:p w:rsidR="001D490F" w:rsidRPr="00D423B2" w:rsidRDefault="001D490F" w:rsidP="00A42105">
            <w:pPr>
              <w:pStyle w:val="ConsPlusNormal"/>
              <w:jc w:val="both"/>
              <w:rPr>
                <w:rFonts w:ascii="Times New Roman" w:hAnsi="Times New Roman" w:cs="Times New Roman"/>
                <w:sz w:val="24"/>
                <w:szCs w:val="24"/>
              </w:rPr>
            </w:pPr>
          </w:p>
          <w:p w:rsidR="001D490F" w:rsidRPr="00D423B2" w:rsidRDefault="001D490F" w:rsidP="001D49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Топливно-энергетический комплекс Республики Татарстан включает в себя нефтедобычу и нефтепереработку, энергетику и систему газоснабжения. Входящие в состав топливно-энергетического комплекса республики отрасли взаимосвязаны в рамках цепочки потребляемого сырья и энергоресурсов.</w:t>
            </w:r>
          </w:p>
          <w:p w:rsidR="001D490F" w:rsidRPr="00D423B2" w:rsidRDefault="001D490F" w:rsidP="001D49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Топливно-энергетический комплекс республики является основой ее экономики. По итогам 2014 года предприятиями комплекса выпущено 50 процентов объема промышленного производства, обеспечено 75 процентов прибыли региона. Доля топливно-энергетического комплекса в валовой добавленной стоимости составила 47,5 процента.</w:t>
            </w:r>
          </w:p>
          <w:p w:rsidR="001D490F" w:rsidRPr="00D423B2" w:rsidRDefault="001D490F" w:rsidP="001D49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Основой нефтегазового комплекса является нефтедобыча. Нефть добывается на территории 22 муниципальных районов Республики Татарстан. Разрабатываемые месторождения сосредоточены на Южно-Татарском своде, юго-восточном склоне Северо-Татарского свода и восточном борту Мелекесской впадины </w:t>
            </w:r>
            <w:hyperlink w:anchor="P103" w:history="1">
              <w:r w:rsidRPr="00D423B2">
                <w:rPr>
                  <w:rFonts w:ascii="Times New Roman" w:hAnsi="Times New Roman" w:cs="Times New Roman"/>
                  <w:sz w:val="24"/>
                  <w:szCs w:val="24"/>
                </w:rPr>
                <w:t>(рис. 1)</w:t>
              </w:r>
            </w:hyperlink>
            <w:r w:rsidRPr="00D423B2">
              <w:rPr>
                <w:rFonts w:ascii="Times New Roman" w:hAnsi="Times New Roman" w:cs="Times New Roman"/>
                <w:sz w:val="24"/>
                <w:szCs w:val="24"/>
              </w:rPr>
              <w:t>.</w:t>
            </w:r>
          </w:p>
          <w:p w:rsidR="006B124A" w:rsidRPr="00D423B2" w:rsidRDefault="006B124A" w:rsidP="00347764">
            <w:pPr>
              <w:jc w:val="both"/>
              <w:rPr>
                <w:rFonts w:ascii="Times New Roman" w:hAnsi="Times New Roman" w:cs="Times New Roman"/>
                <w:sz w:val="24"/>
                <w:szCs w:val="24"/>
              </w:rPr>
            </w:pPr>
          </w:p>
          <w:p w:rsidR="001D490F" w:rsidRPr="00D423B2" w:rsidRDefault="002C6650" w:rsidP="002C6650">
            <w:pPr>
              <w:jc w:val="center"/>
              <w:rPr>
                <w:rFonts w:ascii="Times New Roman" w:hAnsi="Times New Roman" w:cs="Times New Roman"/>
                <w:sz w:val="24"/>
                <w:szCs w:val="24"/>
              </w:rPr>
            </w:pPr>
            <w:r w:rsidRPr="00D423B2">
              <w:rPr>
                <w:rFonts w:ascii="Times New Roman" w:hAnsi="Times New Roman" w:cs="Times New Roman"/>
                <w:noProof/>
                <w:position w:val="-220"/>
                <w:sz w:val="26"/>
                <w:szCs w:val="26"/>
                <w:lang w:eastAsia="ru-RU"/>
              </w:rPr>
              <w:drawing>
                <wp:inline distT="0" distB="0" distL="0" distR="0" wp14:anchorId="2CA00B7F" wp14:editId="12E5D8BD">
                  <wp:extent cx="2019300" cy="1200150"/>
                  <wp:effectExtent l="0" t="0" r="0" b="0"/>
                  <wp:docPr id="1" name="Рисунок 1" descr="base_23915_96336_32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base_23915_96336_32768"/>
                          <pic:cNvPicPr preferRelativeResize="0">
                            <a:picLocks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19300" cy="1200150"/>
                          </a:xfrm>
                          <a:prstGeom prst="rect">
                            <a:avLst/>
                          </a:prstGeom>
                          <a:noFill/>
                          <a:ln>
                            <a:noFill/>
                          </a:ln>
                        </pic:spPr>
                      </pic:pic>
                    </a:graphicData>
                  </a:graphic>
                </wp:inline>
              </w:drawing>
            </w:r>
          </w:p>
          <w:p w:rsidR="008F0B43" w:rsidRPr="00D423B2" w:rsidRDefault="008F0B43" w:rsidP="008F0B43">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Рис. 1. Схема расположения лицензионных площадей на</w:t>
            </w:r>
          </w:p>
          <w:p w:rsidR="008F0B43" w:rsidRPr="00D423B2" w:rsidRDefault="008F0B43" w:rsidP="008F0B43">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геологическое изучение, разведку и добычу нефти и</w:t>
            </w:r>
          </w:p>
          <w:p w:rsidR="008F0B43" w:rsidRPr="00D423B2" w:rsidRDefault="008F0B43" w:rsidP="008F0B43">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lastRenderedPageBreak/>
              <w:t>нераспределенного фонда недр Республики Татарстан</w:t>
            </w:r>
          </w:p>
          <w:p w:rsidR="008F0B43" w:rsidRPr="00D423B2" w:rsidRDefault="008F0B43" w:rsidP="002C6650">
            <w:pPr>
              <w:jc w:val="center"/>
              <w:rPr>
                <w:rFonts w:ascii="Times New Roman" w:hAnsi="Times New Roman" w:cs="Times New Roman"/>
                <w:sz w:val="24"/>
                <w:szCs w:val="24"/>
              </w:rPr>
            </w:pPr>
          </w:p>
          <w:p w:rsidR="00F6474C" w:rsidRPr="00D423B2" w:rsidRDefault="00F6474C" w:rsidP="00F6474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За период 2006 - 2014 годов при суммарном объеме нефтедобычи в Республике Татарстан 292,8 млн тонн прирост запасов промышленных категорий составил 327,4 млн тонн.</w:t>
            </w:r>
          </w:p>
          <w:p w:rsidR="00F6474C" w:rsidRPr="00D423B2" w:rsidRDefault="00F6474C" w:rsidP="00F6474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Действующий лицензионный фонд на право пользования недрами нефтяных месторождений и участков недр с целью поиска и оценки месторождений углеводородного сырья состоит из 146 лицензий, в том числе 62 принадлежат ОАО "Татнефть", 83 - малым нефтяным компаниям (далее - МНК), 1 - ОАО "Башнефть". По состоянию на 1 октября 2014 года структура лицензионного фонда углеводородного сырья следующая:</w:t>
            </w:r>
          </w:p>
          <w:p w:rsidR="00F6474C" w:rsidRPr="00D423B2" w:rsidRDefault="00F6474C" w:rsidP="00F6474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114 лицензий - на разведку и добычу;</w:t>
            </w:r>
          </w:p>
          <w:p w:rsidR="00F6474C" w:rsidRPr="00D423B2" w:rsidRDefault="00F6474C" w:rsidP="00F6474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31 лицензия - на поиск, разведку и добычу;</w:t>
            </w:r>
          </w:p>
          <w:p w:rsidR="00F6474C" w:rsidRPr="00D423B2" w:rsidRDefault="00F6474C" w:rsidP="00F6474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одна лицензия - на геологическое изучение недр.</w:t>
            </w:r>
          </w:p>
          <w:p w:rsidR="00F6474C" w:rsidRPr="00D423B2" w:rsidRDefault="00F6474C" w:rsidP="00F6474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 целью повышения эффективности использования ресурсов углеводородного сырья в Республике Татарстан реализуется стратегия диверсификации структуры промышленного производства, организации и дальнейшего развития комплексной, углубленной переработки нефти. С 2005 по 2014 год в Татарстане в результате реализации крупных инвестиционных проектов доля продукции нефтеперерабатывающей и нефтехимической промышленности в структуре промышленного производства выросла с 20,8 до 37,1 процента на фоне сокращения вклада нефтяной промышленности с 39,4 до 22,4 процента.</w:t>
            </w:r>
          </w:p>
          <w:p w:rsidR="00F6474C" w:rsidRPr="00D423B2" w:rsidRDefault="00F6474C" w:rsidP="00F6474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Ежегодно на территории республики </w:t>
            </w:r>
            <w:r w:rsidRPr="00D423B2">
              <w:rPr>
                <w:rFonts w:ascii="Times New Roman" w:hAnsi="Times New Roman" w:cs="Times New Roman"/>
                <w:sz w:val="24"/>
                <w:szCs w:val="24"/>
              </w:rPr>
              <w:lastRenderedPageBreak/>
              <w:t>добывается около 33 млн тонн нефти. Нефтедобывающая отрасль Татарстана представлена предприятиями ОАО "Татнефть", на долю которого приходится порядка 80 процентов добываемой нефти, и 33 МНК. По объемам годовой добычи нефти в 2014 году ОАО "Татнефть" занимает шестое место в Российской Федерации среди нефтяных компаний.</w:t>
            </w:r>
          </w:p>
          <w:p w:rsidR="00F6474C" w:rsidRPr="00D423B2" w:rsidRDefault="00F6474C" w:rsidP="00F6474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2014 году в Республике Татарстан добыто 33,1 млн тонн нефти и около 960 млн куб. метров попутного нефтяного газа, в том числе 26,2 млн тонн нефти и 884,9 млн куб. метров попутного газа ОАО "Татнефть".</w:t>
            </w:r>
          </w:p>
          <w:p w:rsidR="00F6474C" w:rsidRPr="00D423B2" w:rsidRDefault="00F6474C" w:rsidP="00F6474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Республика Татарстан является одним из лидеров нефтяной промышленности страны по степени утилизации попутного газа. В настоящее время этот показатель по всем нефтяным компаниям республики составляет 95 процентов </w:t>
            </w:r>
            <w:hyperlink w:anchor="P119" w:history="1">
              <w:r w:rsidRPr="00D423B2">
                <w:rPr>
                  <w:rFonts w:ascii="Times New Roman" w:hAnsi="Times New Roman" w:cs="Times New Roman"/>
                  <w:sz w:val="24"/>
                  <w:szCs w:val="24"/>
                </w:rPr>
                <w:t>(таблица 1)</w:t>
              </w:r>
            </w:hyperlink>
            <w:r w:rsidRPr="00D423B2">
              <w:rPr>
                <w:rFonts w:ascii="Times New Roman" w:hAnsi="Times New Roman" w:cs="Times New Roman"/>
                <w:sz w:val="24"/>
                <w:szCs w:val="24"/>
              </w:rPr>
              <w:t>.</w:t>
            </w:r>
          </w:p>
          <w:p w:rsidR="00F6474C" w:rsidRPr="00D423B2" w:rsidRDefault="00F6474C" w:rsidP="00F6474C">
            <w:pPr>
              <w:pStyle w:val="ConsPlusNormal"/>
              <w:ind w:firstLine="540"/>
              <w:jc w:val="right"/>
              <w:rPr>
                <w:rFonts w:ascii="Times New Roman" w:hAnsi="Times New Roman" w:cs="Times New Roman"/>
                <w:sz w:val="24"/>
                <w:szCs w:val="24"/>
              </w:rPr>
            </w:pPr>
          </w:p>
          <w:p w:rsidR="00F6474C" w:rsidRPr="00D423B2" w:rsidRDefault="00F6474C" w:rsidP="00F6474C">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w:t>
            </w:r>
          </w:p>
          <w:p w:rsidR="00F6474C" w:rsidRPr="00D423B2" w:rsidRDefault="00F6474C" w:rsidP="00F6474C">
            <w:pPr>
              <w:pStyle w:val="ConsPlusTitle"/>
              <w:jc w:val="center"/>
              <w:rPr>
                <w:rFonts w:ascii="Times New Roman" w:hAnsi="Times New Roman" w:cs="Times New Roman"/>
                <w:b w:val="0"/>
                <w:sz w:val="24"/>
                <w:szCs w:val="24"/>
              </w:rPr>
            </w:pPr>
          </w:p>
          <w:p w:rsidR="00F6474C" w:rsidRPr="00D423B2" w:rsidRDefault="00F6474C" w:rsidP="00F6474C">
            <w:pPr>
              <w:pStyle w:val="ConsPlusTitle"/>
              <w:jc w:val="center"/>
              <w:rPr>
                <w:rFonts w:ascii="Times New Roman" w:hAnsi="Times New Roman" w:cs="Times New Roman"/>
                <w:b w:val="0"/>
                <w:sz w:val="24"/>
                <w:szCs w:val="24"/>
              </w:rPr>
            </w:pPr>
            <w:r w:rsidRPr="00D423B2">
              <w:rPr>
                <w:rFonts w:ascii="Times New Roman" w:hAnsi="Times New Roman" w:cs="Times New Roman"/>
                <w:b w:val="0"/>
                <w:sz w:val="24"/>
                <w:szCs w:val="24"/>
              </w:rPr>
              <w:t>Добыча и утилизация попутного нефтяного газа</w:t>
            </w:r>
          </w:p>
          <w:p w:rsidR="00F6474C" w:rsidRPr="00D423B2" w:rsidRDefault="00F6474C" w:rsidP="00F6474C">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в Республике Татарстан</w:t>
            </w:r>
          </w:p>
          <w:p w:rsidR="00F6474C" w:rsidRPr="00D423B2" w:rsidRDefault="00F6474C" w:rsidP="00D8174B">
            <w:pPr>
              <w:rPr>
                <w:rFonts w:ascii="Times New Roman" w:hAnsi="Times New Roman" w:cs="Times New Roman"/>
                <w:sz w:val="24"/>
                <w:szCs w:val="24"/>
              </w:rPr>
            </w:pPr>
          </w:p>
          <w:p w:rsidR="00F6474C" w:rsidRPr="00D423B2" w:rsidRDefault="00F6474C" w:rsidP="00D8174B">
            <w:pPr>
              <w:widowControl w:val="0"/>
              <w:autoSpaceDE w:val="0"/>
              <w:autoSpaceDN w:val="0"/>
              <w:jc w:val="both"/>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5"/>
              <w:gridCol w:w="502"/>
              <w:gridCol w:w="509"/>
              <w:gridCol w:w="509"/>
              <w:gridCol w:w="507"/>
              <w:gridCol w:w="512"/>
              <w:gridCol w:w="495"/>
              <w:gridCol w:w="495"/>
            </w:tblGrid>
            <w:tr w:rsidR="00D423B2" w:rsidRPr="00D423B2" w:rsidTr="00D8174B">
              <w:trPr>
                <w:trHeight w:val="205"/>
              </w:trPr>
              <w:tc>
                <w:tcPr>
                  <w:tcW w:w="1705"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Наименование показателя/годы</w:t>
                  </w:r>
                </w:p>
              </w:tc>
              <w:tc>
                <w:tcPr>
                  <w:tcW w:w="502"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2008</w:t>
                  </w:r>
                </w:p>
              </w:tc>
              <w:tc>
                <w:tcPr>
                  <w:tcW w:w="509"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2009</w:t>
                  </w:r>
                </w:p>
              </w:tc>
              <w:tc>
                <w:tcPr>
                  <w:tcW w:w="509"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2010</w:t>
                  </w:r>
                </w:p>
              </w:tc>
              <w:tc>
                <w:tcPr>
                  <w:tcW w:w="507"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2011</w:t>
                  </w:r>
                </w:p>
              </w:tc>
              <w:tc>
                <w:tcPr>
                  <w:tcW w:w="512"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2012</w:t>
                  </w:r>
                </w:p>
              </w:tc>
              <w:tc>
                <w:tcPr>
                  <w:tcW w:w="495"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2013</w:t>
                  </w:r>
                </w:p>
              </w:tc>
              <w:tc>
                <w:tcPr>
                  <w:tcW w:w="495"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2014</w:t>
                  </w:r>
                </w:p>
              </w:tc>
            </w:tr>
            <w:tr w:rsidR="00D423B2" w:rsidRPr="00D423B2" w:rsidTr="00D8174B">
              <w:trPr>
                <w:trHeight w:val="205"/>
              </w:trPr>
              <w:tc>
                <w:tcPr>
                  <w:tcW w:w="1705" w:type="dxa"/>
                </w:tcPr>
                <w:p w:rsidR="00F6474C" w:rsidRPr="00D423B2" w:rsidRDefault="00F6474C" w:rsidP="00F6474C">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Добыча попутного газа, млн куб. метров</w:t>
                  </w:r>
                </w:p>
              </w:tc>
              <w:tc>
                <w:tcPr>
                  <w:tcW w:w="502"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874,6</w:t>
                  </w:r>
                </w:p>
              </w:tc>
              <w:tc>
                <w:tcPr>
                  <w:tcW w:w="509"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871,5</w:t>
                  </w:r>
                </w:p>
              </w:tc>
              <w:tc>
                <w:tcPr>
                  <w:tcW w:w="509"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882,2</w:t>
                  </w:r>
                </w:p>
              </w:tc>
              <w:tc>
                <w:tcPr>
                  <w:tcW w:w="507"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824,1</w:t>
                  </w:r>
                </w:p>
              </w:tc>
              <w:tc>
                <w:tcPr>
                  <w:tcW w:w="512"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882,7</w:t>
                  </w:r>
                </w:p>
              </w:tc>
              <w:tc>
                <w:tcPr>
                  <w:tcW w:w="495"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943,8</w:t>
                  </w:r>
                </w:p>
              </w:tc>
              <w:tc>
                <w:tcPr>
                  <w:tcW w:w="495"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960</w:t>
                  </w:r>
                </w:p>
              </w:tc>
            </w:tr>
            <w:tr w:rsidR="00D423B2" w:rsidRPr="00D423B2" w:rsidTr="00D8174B">
              <w:trPr>
                <w:trHeight w:val="205"/>
              </w:trPr>
              <w:tc>
                <w:tcPr>
                  <w:tcW w:w="1705" w:type="dxa"/>
                </w:tcPr>
                <w:p w:rsidR="00F6474C" w:rsidRPr="00D423B2" w:rsidRDefault="00F6474C" w:rsidP="00F6474C">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Прием на переработку, млн куб. метров</w:t>
                  </w:r>
                </w:p>
              </w:tc>
              <w:tc>
                <w:tcPr>
                  <w:tcW w:w="502"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800,1</w:t>
                  </w:r>
                </w:p>
              </w:tc>
              <w:tc>
                <w:tcPr>
                  <w:tcW w:w="509"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802,5</w:t>
                  </w:r>
                </w:p>
              </w:tc>
              <w:tc>
                <w:tcPr>
                  <w:tcW w:w="509"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818</w:t>
                  </w:r>
                </w:p>
              </w:tc>
              <w:tc>
                <w:tcPr>
                  <w:tcW w:w="507"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765,7</w:t>
                  </w:r>
                </w:p>
              </w:tc>
              <w:tc>
                <w:tcPr>
                  <w:tcW w:w="512"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832,7</w:t>
                  </w:r>
                </w:p>
              </w:tc>
              <w:tc>
                <w:tcPr>
                  <w:tcW w:w="495"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844,9</w:t>
                  </w:r>
                </w:p>
              </w:tc>
              <w:tc>
                <w:tcPr>
                  <w:tcW w:w="495"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909,5</w:t>
                  </w:r>
                </w:p>
              </w:tc>
            </w:tr>
            <w:tr w:rsidR="00D423B2" w:rsidRPr="00D423B2" w:rsidTr="00D8174B">
              <w:trPr>
                <w:trHeight w:val="6"/>
              </w:trPr>
              <w:tc>
                <w:tcPr>
                  <w:tcW w:w="1705" w:type="dxa"/>
                </w:tcPr>
                <w:p w:rsidR="00F6474C" w:rsidRPr="00D423B2" w:rsidRDefault="00F6474C" w:rsidP="00F6474C">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Степень утилизации, процентов</w:t>
                  </w:r>
                </w:p>
              </w:tc>
              <w:tc>
                <w:tcPr>
                  <w:tcW w:w="502"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91,4</w:t>
                  </w:r>
                </w:p>
              </w:tc>
              <w:tc>
                <w:tcPr>
                  <w:tcW w:w="509"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92</w:t>
                  </w:r>
                </w:p>
              </w:tc>
              <w:tc>
                <w:tcPr>
                  <w:tcW w:w="509"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92,7</w:t>
                  </w:r>
                </w:p>
              </w:tc>
              <w:tc>
                <w:tcPr>
                  <w:tcW w:w="507"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92,9</w:t>
                  </w:r>
                </w:p>
              </w:tc>
              <w:tc>
                <w:tcPr>
                  <w:tcW w:w="512"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94,3</w:t>
                  </w:r>
                </w:p>
              </w:tc>
              <w:tc>
                <w:tcPr>
                  <w:tcW w:w="495"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89,5</w:t>
                  </w:r>
                </w:p>
              </w:tc>
              <w:tc>
                <w:tcPr>
                  <w:tcW w:w="495" w:type="dxa"/>
                </w:tcPr>
                <w:p w:rsidR="00F6474C" w:rsidRPr="00D423B2" w:rsidRDefault="00F6474C" w:rsidP="00F6474C">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95</w:t>
                  </w:r>
                </w:p>
              </w:tc>
            </w:tr>
          </w:tbl>
          <w:p w:rsidR="00F6474C" w:rsidRPr="00D423B2" w:rsidRDefault="00F6474C" w:rsidP="002C6650">
            <w:pPr>
              <w:jc w:val="center"/>
              <w:rPr>
                <w:rFonts w:ascii="Times New Roman" w:hAnsi="Times New Roman" w:cs="Times New Roman"/>
                <w:sz w:val="24"/>
                <w:szCs w:val="24"/>
              </w:rPr>
            </w:pPr>
          </w:p>
          <w:p w:rsidR="00EB4B55" w:rsidRPr="00D423B2" w:rsidRDefault="00EB4B55" w:rsidP="00EB4B55">
            <w:pPr>
              <w:jc w:val="center"/>
              <w:rPr>
                <w:rFonts w:ascii="Times New Roman" w:hAnsi="Times New Roman" w:cs="Times New Roman"/>
                <w:b/>
                <w:sz w:val="24"/>
                <w:szCs w:val="24"/>
              </w:rPr>
            </w:pPr>
            <w:r w:rsidRPr="00D423B2">
              <w:rPr>
                <w:rFonts w:ascii="Times New Roman" w:hAnsi="Times New Roman" w:cs="Times New Roman"/>
                <w:b/>
                <w:sz w:val="24"/>
                <w:szCs w:val="24"/>
              </w:rPr>
              <w:lastRenderedPageBreak/>
              <w:t>3.2. Современное состояние минерально-сырьевой базы</w:t>
            </w:r>
          </w:p>
          <w:p w:rsidR="00EB4B55" w:rsidRPr="00D423B2" w:rsidRDefault="00EB4B55" w:rsidP="00EB4B55">
            <w:pPr>
              <w:pStyle w:val="ConsPlusNormal"/>
              <w:ind w:firstLine="540"/>
              <w:jc w:val="center"/>
              <w:rPr>
                <w:rFonts w:ascii="Times New Roman" w:hAnsi="Times New Roman" w:cs="Times New Roman"/>
                <w:sz w:val="24"/>
                <w:szCs w:val="24"/>
              </w:rPr>
            </w:pPr>
            <w:r w:rsidRPr="00D423B2">
              <w:rPr>
                <w:rFonts w:ascii="Times New Roman" w:hAnsi="Times New Roman" w:cs="Times New Roman"/>
                <w:b/>
                <w:sz w:val="24"/>
                <w:szCs w:val="24"/>
              </w:rPr>
              <w:t>углеводородов Республики Татарстан</w:t>
            </w:r>
          </w:p>
          <w:p w:rsidR="00EB4B55" w:rsidRPr="00D423B2" w:rsidRDefault="00EB4B55" w:rsidP="00EB4B55">
            <w:pPr>
              <w:pStyle w:val="ConsPlusNormal"/>
              <w:ind w:firstLine="540"/>
              <w:jc w:val="center"/>
              <w:rPr>
                <w:rFonts w:ascii="Times New Roman" w:hAnsi="Times New Roman" w:cs="Times New Roman"/>
                <w:sz w:val="26"/>
                <w:szCs w:val="26"/>
              </w:rPr>
            </w:pPr>
          </w:p>
          <w:p w:rsidR="00EB4B55" w:rsidRPr="00D423B2" w:rsidRDefault="00EB4B55" w:rsidP="00EB4B5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ввиду естественного истощения и длительного срока эксплуатации основных крупных нефтяных месторождений сформировалась устойчивая тенденция ухудшения сырьевой базы нефтяной промышленности Российской Федерации. Доля активных запасов, которые обеспечивают 70 процентов всей нефтедобычи в стране, сократилась до 40 процентов. Степень их выработки увеличилась до 75 процентов. Доля трудноизвлекаемых запасов составляет 60 процентов, степень их выработки остается низкой (до 30 процентов).</w:t>
            </w:r>
          </w:p>
          <w:p w:rsidR="00EB4B55" w:rsidRPr="00D423B2" w:rsidRDefault="00EB4B55" w:rsidP="00EB4B5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Республике Татарстан доля трудноизвлекаемых запасов еще более существенна и составляет 78,4 процента.</w:t>
            </w:r>
          </w:p>
          <w:p w:rsidR="00EB4B55" w:rsidRPr="00D423B2" w:rsidRDefault="00EB4B55" w:rsidP="00EB4B5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Российской Федерации с 2006 года обеспечивается расширенное воспроизводство запасов. Состояние восполнения запасов нефти в Российской Федерации приведено в таблице 2.</w:t>
            </w:r>
          </w:p>
          <w:p w:rsidR="00EB4B55" w:rsidRPr="00D423B2" w:rsidRDefault="00EB4B55" w:rsidP="00EB4B55">
            <w:pPr>
              <w:pStyle w:val="ConsPlusNormal"/>
              <w:ind w:firstLine="540"/>
              <w:jc w:val="right"/>
              <w:rPr>
                <w:rFonts w:ascii="Times New Roman" w:hAnsi="Times New Roman" w:cs="Times New Roman"/>
                <w:sz w:val="24"/>
                <w:szCs w:val="24"/>
              </w:rPr>
            </w:pPr>
          </w:p>
          <w:p w:rsidR="00EB4B55" w:rsidRPr="00D423B2" w:rsidRDefault="00EB4B55" w:rsidP="00EB4B55">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2</w:t>
            </w:r>
          </w:p>
          <w:p w:rsidR="00EB4B55" w:rsidRPr="00D423B2" w:rsidRDefault="00EB4B55" w:rsidP="00EB4B55">
            <w:pPr>
              <w:widowControl w:val="0"/>
              <w:autoSpaceDE w:val="0"/>
              <w:autoSpaceDN w:val="0"/>
              <w:jc w:val="center"/>
              <w:rPr>
                <w:rFonts w:ascii="Times New Roman" w:eastAsia="Times New Roman" w:hAnsi="Times New Roman" w:cs="Times New Roman"/>
                <w:b/>
                <w:sz w:val="24"/>
                <w:szCs w:val="24"/>
                <w:lang w:eastAsia="ru-RU"/>
              </w:rPr>
            </w:pPr>
          </w:p>
          <w:p w:rsidR="00EB4B55" w:rsidRPr="00D423B2" w:rsidRDefault="00EB4B55" w:rsidP="00EB4B55">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Состояние воспроизводства запасов нефти</w:t>
            </w:r>
          </w:p>
          <w:p w:rsidR="00EB4B55" w:rsidRPr="00D423B2" w:rsidRDefault="00EB4B55" w:rsidP="00EB4B55">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Российской Федерации за 1986 - 2014 годы</w:t>
            </w:r>
          </w:p>
          <w:p w:rsidR="001D490F" w:rsidRPr="00D423B2" w:rsidRDefault="001D490F" w:rsidP="00347764">
            <w:pPr>
              <w:jc w:val="both"/>
              <w:rPr>
                <w:rFonts w:ascii="Times New Roman" w:hAnsi="Times New Roman" w:cs="Times New Roman"/>
                <w:sz w:val="24"/>
                <w:szCs w:val="24"/>
              </w:rPr>
            </w:pPr>
          </w:p>
          <w:p w:rsidR="003C3395" w:rsidRPr="00D423B2" w:rsidRDefault="003C3395" w:rsidP="003C3395">
            <w:pPr>
              <w:widowControl w:val="0"/>
              <w:autoSpaceDE w:val="0"/>
              <w:autoSpaceDN w:val="0"/>
              <w:jc w:val="center"/>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291"/>
              <w:gridCol w:w="439"/>
              <w:gridCol w:w="436"/>
              <w:gridCol w:w="441"/>
              <w:gridCol w:w="423"/>
              <w:gridCol w:w="456"/>
              <w:gridCol w:w="365"/>
              <w:gridCol w:w="365"/>
              <w:gridCol w:w="456"/>
              <w:gridCol w:w="365"/>
            </w:tblGrid>
            <w:tr w:rsidR="00D423B2" w:rsidRPr="00D423B2" w:rsidTr="009D03F9">
              <w:trPr>
                <w:trHeight w:val="441"/>
              </w:trPr>
              <w:tc>
                <w:tcPr>
                  <w:tcW w:w="1291"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Наименование показателя/годы</w:t>
                  </w:r>
                </w:p>
              </w:tc>
              <w:tc>
                <w:tcPr>
                  <w:tcW w:w="439"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1986- 1990</w:t>
                  </w:r>
                </w:p>
              </w:tc>
              <w:tc>
                <w:tcPr>
                  <w:tcW w:w="43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1991- 1995</w:t>
                  </w:r>
                </w:p>
              </w:tc>
              <w:tc>
                <w:tcPr>
                  <w:tcW w:w="441"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1996 - 2000</w:t>
                  </w:r>
                </w:p>
              </w:tc>
              <w:tc>
                <w:tcPr>
                  <w:tcW w:w="423"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2001- 2005</w:t>
                  </w:r>
                </w:p>
              </w:tc>
              <w:tc>
                <w:tcPr>
                  <w:tcW w:w="45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2006- 2010</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2011</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2012</w:t>
                  </w:r>
                </w:p>
              </w:tc>
              <w:tc>
                <w:tcPr>
                  <w:tcW w:w="45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2013</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2014</w:t>
                  </w:r>
                </w:p>
              </w:tc>
            </w:tr>
            <w:tr w:rsidR="00D423B2" w:rsidRPr="00D423B2" w:rsidTr="009D03F9">
              <w:trPr>
                <w:trHeight w:val="441"/>
              </w:trPr>
              <w:tc>
                <w:tcPr>
                  <w:tcW w:w="1291"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lastRenderedPageBreak/>
                    <w:t>1. Прирост запасов нефти, млн тонн</w:t>
                  </w:r>
                </w:p>
              </w:tc>
              <w:tc>
                <w:tcPr>
                  <w:tcW w:w="439"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6 890</w:t>
                  </w:r>
                </w:p>
              </w:tc>
              <w:tc>
                <w:tcPr>
                  <w:tcW w:w="43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2 344</w:t>
                  </w:r>
                </w:p>
              </w:tc>
              <w:tc>
                <w:tcPr>
                  <w:tcW w:w="441"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1 245</w:t>
                  </w:r>
                </w:p>
              </w:tc>
              <w:tc>
                <w:tcPr>
                  <w:tcW w:w="423"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1 253</w:t>
                  </w:r>
                </w:p>
              </w:tc>
              <w:tc>
                <w:tcPr>
                  <w:tcW w:w="45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3 434</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700</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680</w:t>
                  </w:r>
                </w:p>
              </w:tc>
              <w:tc>
                <w:tcPr>
                  <w:tcW w:w="45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635</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530</w:t>
                  </w:r>
                </w:p>
              </w:tc>
            </w:tr>
            <w:tr w:rsidR="00D423B2" w:rsidRPr="00D423B2" w:rsidTr="009D03F9">
              <w:trPr>
                <w:trHeight w:val="260"/>
              </w:trPr>
              <w:tc>
                <w:tcPr>
                  <w:tcW w:w="1291"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Добыча нефти, млн тонн</w:t>
                  </w:r>
                </w:p>
              </w:tc>
              <w:tc>
                <w:tcPr>
                  <w:tcW w:w="439"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2 760</w:t>
                  </w:r>
                </w:p>
              </w:tc>
              <w:tc>
                <w:tcPr>
                  <w:tcW w:w="43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1 840</w:t>
                  </w:r>
                </w:p>
              </w:tc>
              <w:tc>
                <w:tcPr>
                  <w:tcW w:w="441"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1 538</w:t>
                  </w:r>
                </w:p>
              </w:tc>
              <w:tc>
                <w:tcPr>
                  <w:tcW w:w="423"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2 077</w:t>
                  </w:r>
                </w:p>
              </w:tc>
              <w:tc>
                <w:tcPr>
                  <w:tcW w:w="45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2 460</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511,4</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518,0</w:t>
                  </w:r>
                </w:p>
              </w:tc>
              <w:tc>
                <w:tcPr>
                  <w:tcW w:w="45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523,4</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526,7</w:t>
                  </w:r>
                </w:p>
              </w:tc>
            </w:tr>
            <w:tr w:rsidR="00D423B2" w:rsidRPr="00D423B2" w:rsidTr="009D03F9">
              <w:trPr>
                <w:trHeight w:val="675"/>
              </w:trPr>
              <w:tc>
                <w:tcPr>
                  <w:tcW w:w="1291"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Воспроизводство минерально-сырьевой базы, в процентах</w:t>
                  </w:r>
                </w:p>
              </w:tc>
              <w:tc>
                <w:tcPr>
                  <w:tcW w:w="439"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249</w:t>
                  </w:r>
                </w:p>
              </w:tc>
              <w:tc>
                <w:tcPr>
                  <w:tcW w:w="43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127</w:t>
                  </w:r>
                </w:p>
              </w:tc>
              <w:tc>
                <w:tcPr>
                  <w:tcW w:w="441"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80</w:t>
                  </w:r>
                </w:p>
              </w:tc>
              <w:tc>
                <w:tcPr>
                  <w:tcW w:w="423"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60</w:t>
                  </w:r>
                </w:p>
              </w:tc>
              <w:tc>
                <w:tcPr>
                  <w:tcW w:w="45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139,6</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136,8</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131,3</w:t>
                  </w:r>
                </w:p>
              </w:tc>
              <w:tc>
                <w:tcPr>
                  <w:tcW w:w="456"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121,3</w:t>
                  </w:r>
                </w:p>
              </w:tc>
              <w:tc>
                <w:tcPr>
                  <w:tcW w:w="365" w:type="dxa"/>
                </w:tcPr>
                <w:p w:rsidR="003C3395" w:rsidRPr="00D423B2" w:rsidRDefault="003C3395" w:rsidP="003C3395">
                  <w:pPr>
                    <w:widowControl w:val="0"/>
                    <w:autoSpaceDE w:val="0"/>
                    <w:autoSpaceDN w:val="0"/>
                    <w:spacing w:after="0" w:line="240" w:lineRule="auto"/>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100,6</w:t>
                  </w:r>
                </w:p>
              </w:tc>
            </w:tr>
          </w:tbl>
          <w:p w:rsidR="003C3395" w:rsidRPr="00D423B2" w:rsidRDefault="003C3395" w:rsidP="00347764">
            <w:pPr>
              <w:jc w:val="both"/>
              <w:rPr>
                <w:rFonts w:ascii="Times New Roman" w:hAnsi="Times New Roman" w:cs="Times New Roman"/>
                <w:sz w:val="16"/>
                <w:szCs w:val="16"/>
              </w:rPr>
            </w:pPr>
          </w:p>
          <w:p w:rsidR="00D4495E" w:rsidRPr="00D423B2" w:rsidRDefault="00D4495E" w:rsidP="00D4495E">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В настоящее время в Российской Федерации в разработке находятся около 1600 нефтяных месторождений, и после периода стабилизации добыча нефти с 2000 года вновь начала расти. В 2010 году объем нефтедобычи превысил 500 млн тонн, достигнув 505 млн тонн. Данные показатели превышают прогнозные годовые уровни нефтедобычи, приводимые в Энергетической стратегии России на период до 2030 года и в Генеральной схеме развития нефтяной отрасли до 2020 года </w:t>
            </w:r>
            <w:hyperlink w:anchor="P212" w:history="1">
              <w:r w:rsidRPr="00D423B2">
                <w:rPr>
                  <w:rFonts w:ascii="Times New Roman" w:eastAsia="Times New Roman" w:hAnsi="Times New Roman" w:cs="Times New Roman"/>
                  <w:sz w:val="24"/>
                  <w:szCs w:val="24"/>
                  <w:lang w:eastAsia="ru-RU"/>
                </w:rPr>
                <w:t>(таблица 3)</w:t>
              </w:r>
            </w:hyperlink>
            <w:r w:rsidRPr="00D423B2">
              <w:rPr>
                <w:rFonts w:ascii="Times New Roman" w:eastAsia="Times New Roman" w:hAnsi="Times New Roman" w:cs="Times New Roman"/>
                <w:sz w:val="24"/>
                <w:szCs w:val="24"/>
                <w:lang w:eastAsia="ru-RU"/>
              </w:rPr>
              <w:t>.</w:t>
            </w:r>
          </w:p>
          <w:p w:rsidR="00D4495E" w:rsidRPr="00D423B2" w:rsidRDefault="00D4495E" w:rsidP="00D4495E">
            <w:pPr>
              <w:widowControl w:val="0"/>
              <w:autoSpaceDE w:val="0"/>
              <w:autoSpaceDN w:val="0"/>
              <w:jc w:val="right"/>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Таблица 3</w:t>
            </w:r>
          </w:p>
          <w:p w:rsidR="00D4495E" w:rsidRPr="00D423B2" w:rsidRDefault="00D4495E" w:rsidP="00D4495E">
            <w:pPr>
              <w:widowControl w:val="0"/>
              <w:autoSpaceDE w:val="0"/>
              <w:autoSpaceDN w:val="0"/>
              <w:jc w:val="both"/>
              <w:outlineLvl w:val="3"/>
              <w:rPr>
                <w:rFonts w:ascii="Times New Roman" w:eastAsia="Times New Roman" w:hAnsi="Times New Roman" w:cs="Times New Roman"/>
                <w:sz w:val="24"/>
                <w:szCs w:val="24"/>
                <w:lang w:eastAsia="ru-RU"/>
              </w:rPr>
            </w:pPr>
          </w:p>
          <w:p w:rsidR="00D4495E" w:rsidRPr="00D423B2" w:rsidRDefault="00D4495E" w:rsidP="00D4495E">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Уровень добычи нефти в Российской Федерации за период</w:t>
            </w:r>
          </w:p>
          <w:p w:rsidR="00D4495E" w:rsidRPr="00D423B2" w:rsidRDefault="00D4495E" w:rsidP="00D4495E">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с 2008 по 2014 год</w:t>
            </w:r>
          </w:p>
          <w:p w:rsidR="003C3395" w:rsidRPr="00D423B2" w:rsidRDefault="003C3395" w:rsidP="00347764">
            <w:pPr>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92"/>
              <w:gridCol w:w="559"/>
              <w:gridCol w:w="466"/>
              <w:gridCol w:w="466"/>
              <w:gridCol w:w="466"/>
              <w:gridCol w:w="470"/>
              <w:gridCol w:w="462"/>
              <w:gridCol w:w="466"/>
            </w:tblGrid>
            <w:tr w:rsidR="00D423B2" w:rsidRPr="00D423B2" w:rsidTr="005D0647">
              <w:trPr>
                <w:trHeight w:val="162"/>
              </w:trPr>
              <w:tc>
                <w:tcPr>
                  <w:tcW w:w="1792"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Добыча нефти, млн тонн в год/годы</w:t>
                  </w:r>
                </w:p>
              </w:tc>
              <w:tc>
                <w:tcPr>
                  <w:tcW w:w="559"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2008</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2009</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2010</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2011</w:t>
                  </w:r>
                </w:p>
              </w:tc>
              <w:tc>
                <w:tcPr>
                  <w:tcW w:w="470"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2012</w:t>
                  </w:r>
                </w:p>
              </w:tc>
              <w:tc>
                <w:tcPr>
                  <w:tcW w:w="462"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2013</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2014</w:t>
                  </w:r>
                </w:p>
              </w:tc>
            </w:tr>
            <w:tr w:rsidR="00D423B2" w:rsidRPr="00D423B2" w:rsidTr="005D0647">
              <w:trPr>
                <w:trHeight w:val="162"/>
              </w:trPr>
              <w:tc>
                <w:tcPr>
                  <w:tcW w:w="1792"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Фактическая</w:t>
                  </w:r>
                </w:p>
              </w:tc>
              <w:tc>
                <w:tcPr>
                  <w:tcW w:w="559"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488,1</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494,2</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505,2</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511,0</w:t>
                  </w:r>
                </w:p>
              </w:tc>
              <w:tc>
                <w:tcPr>
                  <w:tcW w:w="470"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518,0</w:t>
                  </w:r>
                </w:p>
              </w:tc>
              <w:tc>
                <w:tcPr>
                  <w:tcW w:w="462"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523,4</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526,7</w:t>
                  </w:r>
                </w:p>
              </w:tc>
            </w:tr>
            <w:tr w:rsidR="00D423B2" w:rsidRPr="00D423B2" w:rsidTr="005D0647">
              <w:trPr>
                <w:trHeight w:val="170"/>
              </w:trPr>
              <w:tc>
                <w:tcPr>
                  <w:tcW w:w="1792"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ЭС-2030</w:t>
                  </w:r>
                </w:p>
              </w:tc>
              <w:tc>
                <w:tcPr>
                  <w:tcW w:w="559"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488,0</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494,0</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494,0</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494,0</w:t>
                  </w:r>
                </w:p>
              </w:tc>
              <w:tc>
                <w:tcPr>
                  <w:tcW w:w="470"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495,0</w:t>
                  </w:r>
                </w:p>
              </w:tc>
              <w:tc>
                <w:tcPr>
                  <w:tcW w:w="462"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495</w:t>
                  </w:r>
                </w:p>
              </w:tc>
              <w:tc>
                <w:tcPr>
                  <w:tcW w:w="466" w:type="dxa"/>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495</w:t>
                  </w:r>
                </w:p>
              </w:tc>
            </w:tr>
            <w:tr w:rsidR="00D423B2" w:rsidRPr="00D423B2" w:rsidTr="005D0647">
              <w:tblPrEx>
                <w:tblBorders>
                  <w:insideH w:val="nil"/>
                </w:tblBorders>
              </w:tblPrEx>
              <w:trPr>
                <w:trHeight w:val="154"/>
              </w:trPr>
              <w:tc>
                <w:tcPr>
                  <w:tcW w:w="1792" w:type="dxa"/>
                  <w:tcBorders>
                    <w:bottom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Генсхема Российской Федерации:</w:t>
                  </w:r>
                </w:p>
              </w:tc>
              <w:tc>
                <w:tcPr>
                  <w:tcW w:w="559" w:type="dxa"/>
                  <w:tcBorders>
                    <w:bottom w:val="nil"/>
                  </w:tcBorders>
                </w:tcPr>
                <w:p w:rsidR="000F40E3" w:rsidRPr="00D423B2" w:rsidRDefault="000F40E3" w:rsidP="000F40E3">
                  <w:pPr>
                    <w:pStyle w:val="ConsPlusNormal"/>
                    <w:jc w:val="both"/>
                    <w:rPr>
                      <w:rFonts w:ascii="Times New Roman" w:hAnsi="Times New Roman" w:cs="Times New Roman"/>
                      <w:sz w:val="16"/>
                      <w:szCs w:val="16"/>
                    </w:rPr>
                  </w:pPr>
                </w:p>
              </w:tc>
              <w:tc>
                <w:tcPr>
                  <w:tcW w:w="466" w:type="dxa"/>
                  <w:tcBorders>
                    <w:bottom w:val="nil"/>
                  </w:tcBorders>
                </w:tcPr>
                <w:p w:rsidR="000F40E3" w:rsidRPr="00D423B2" w:rsidRDefault="000F40E3" w:rsidP="000F40E3">
                  <w:pPr>
                    <w:pStyle w:val="ConsPlusNormal"/>
                    <w:jc w:val="both"/>
                    <w:rPr>
                      <w:rFonts w:ascii="Times New Roman" w:hAnsi="Times New Roman" w:cs="Times New Roman"/>
                      <w:sz w:val="16"/>
                      <w:szCs w:val="16"/>
                    </w:rPr>
                  </w:pPr>
                </w:p>
              </w:tc>
              <w:tc>
                <w:tcPr>
                  <w:tcW w:w="466" w:type="dxa"/>
                  <w:tcBorders>
                    <w:bottom w:val="nil"/>
                  </w:tcBorders>
                </w:tcPr>
                <w:p w:rsidR="000F40E3" w:rsidRPr="00D423B2" w:rsidRDefault="000F40E3" w:rsidP="000F40E3">
                  <w:pPr>
                    <w:pStyle w:val="ConsPlusNormal"/>
                    <w:jc w:val="both"/>
                    <w:rPr>
                      <w:rFonts w:ascii="Times New Roman" w:hAnsi="Times New Roman" w:cs="Times New Roman"/>
                      <w:sz w:val="16"/>
                      <w:szCs w:val="16"/>
                    </w:rPr>
                  </w:pPr>
                </w:p>
              </w:tc>
              <w:tc>
                <w:tcPr>
                  <w:tcW w:w="466" w:type="dxa"/>
                  <w:tcBorders>
                    <w:bottom w:val="nil"/>
                  </w:tcBorders>
                </w:tcPr>
                <w:p w:rsidR="000F40E3" w:rsidRPr="00D423B2" w:rsidRDefault="000F40E3" w:rsidP="000F40E3">
                  <w:pPr>
                    <w:pStyle w:val="ConsPlusNormal"/>
                    <w:jc w:val="both"/>
                    <w:rPr>
                      <w:rFonts w:ascii="Times New Roman" w:hAnsi="Times New Roman" w:cs="Times New Roman"/>
                      <w:sz w:val="16"/>
                      <w:szCs w:val="16"/>
                    </w:rPr>
                  </w:pPr>
                </w:p>
              </w:tc>
              <w:tc>
                <w:tcPr>
                  <w:tcW w:w="470" w:type="dxa"/>
                  <w:tcBorders>
                    <w:bottom w:val="nil"/>
                  </w:tcBorders>
                </w:tcPr>
                <w:p w:rsidR="000F40E3" w:rsidRPr="00D423B2" w:rsidRDefault="000F40E3" w:rsidP="000F40E3">
                  <w:pPr>
                    <w:pStyle w:val="ConsPlusNormal"/>
                    <w:jc w:val="both"/>
                    <w:rPr>
                      <w:rFonts w:ascii="Times New Roman" w:hAnsi="Times New Roman" w:cs="Times New Roman"/>
                      <w:sz w:val="16"/>
                      <w:szCs w:val="16"/>
                    </w:rPr>
                  </w:pPr>
                </w:p>
              </w:tc>
              <w:tc>
                <w:tcPr>
                  <w:tcW w:w="462" w:type="dxa"/>
                  <w:tcBorders>
                    <w:bottom w:val="nil"/>
                  </w:tcBorders>
                </w:tcPr>
                <w:p w:rsidR="000F40E3" w:rsidRPr="00D423B2" w:rsidRDefault="000F40E3" w:rsidP="000F40E3">
                  <w:pPr>
                    <w:pStyle w:val="ConsPlusNormal"/>
                    <w:jc w:val="both"/>
                    <w:rPr>
                      <w:rFonts w:ascii="Times New Roman" w:hAnsi="Times New Roman" w:cs="Times New Roman"/>
                      <w:sz w:val="16"/>
                      <w:szCs w:val="16"/>
                    </w:rPr>
                  </w:pPr>
                </w:p>
              </w:tc>
              <w:tc>
                <w:tcPr>
                  <w:tcW w:w="466" w:type="dxa"/>
                  <w:tcBorders>
                    <w:bottom w:val="nil"/>
                  </w:tcBorders>
                </w:tcPr>
                <w:p w:rsidR="000F40E3" w:rsidRPr="00D423B2" w:rsidRDefault="000F40E3" w:rsidP="000F40E3">
                  <w:pPr>
                    <w:pStyle w:val="ConsPlusNormal"/>
                    <w:jc w:val="both"/>
                    <w:rPr>
                      <w:rFonts w:ascii="Times New Roman" w:hAnsi="Times New Roman" w:cs="Times New Roman"/>
                      <w:sz w:val="16"/>
                      <w:szCs w:val="16"/>
                    </w:rPr>
                  </w:pPr>
                </w:p>
              </w:tc>
            </w:tr>
            <w:tr w:rsidR="00D423B2" w:rsidRPr="00D423B2" w:rsidTr="005D0647">
              <w:tblPrEx>
                <w:tblBorders>
                  <w:insideH w:val="nil"/>
                </w:tblBorders>
              </w:tblPrEx>
              <w:trPr>
                <w:trHeight w:val="162"/>
              </w:trPr>
              <w:tc>
                <w:tcPr>
                  <w:tcW w:w="1792" w:type="dxa"/>
                  <w:tcBorders>
                    <w:top w:val="nil"/>
                    <w:bottom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lastRenderedPageBreak/>
                    <w:t>плановый вариант</w:t>
                  </w:r>
                </w:p>
              </w:tc>
              <w:tc>
                <w:tcPr>
                  <w:tcW w:w="559" w:type="dxa"/>
                  <w:tcBorders>
                    <w:top w:val="nil"/>
                    <w:bottom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488,0</w:t>
                  </w:r>
                </w:p>
              </w:tc>
              <w:tc>
                <w:tcPr>
                  <w:tcW w:w="466" w:type="dxa"/>
                  <w:tcBorders>
                    <w:top w:val="nil"/>
                    <w:bottom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494,0</w:t>
                  </w:r>
                </w:p>
              </w:tc>
              <w:tc>
                <w:tcPr>
                  <w:tcW w:w="466" w:type="dxa"/>
                  <w:tcBorders>
                    <w:top w:val="nil"/>
                    <w:bottom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496,0</w:t>
                  </w:r>
                </w:p>
              </w:tc>
              <w:tc>
                <w:tcPr>
                  <w:tcW w:w="466" w:type="dxa"/>
                  <w:tcBorders>
                    <w:top w:val="nil"/>
                    <w:bottom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484,0</w:t>
                  </w:r>
                </w:p>
              </w:tc>
              <w:tc>
                <w:tcPr>
                  <w:tcW w:w="470" w:type="dxa"/>
                  <w:tcBorders>
                    <w:top w:val="nil"/>
                    <w:bottom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473,0</w:t>
                  </w:r>
                </w:p>
              </w:tc>
              <w:tc>
                <w:tcPr>
                  <w:tcW w:w="462" w:type="dxa"/>
                  <w:tcBorders>
                    <w:top w:val="nil"/>
                    <w:bottom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462</w:t>
                  </w:r>
                </w:p>
              </w:tc>
              <w:tc>
                <w:tcPr>
                  <w:tcW w:w="466" w:type="dxa"/>
                  <w:tcBorders>
                    <w:top w:val="nil"/>
                    <w:bottom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454</w:t>
                  </w:r>
                </w:p>
              </w:tc>
            </w:tr>
            <w:tr w:rsidR="00D423B2" w:rsidRPr="00D423B2" w:rsidTr="005D0647">
              <w:tblPrEx>
                <w:tblBorders>
                  <w:insideH w:val="nil"/>
                </w:tblBorders>
              </w:tblPrEx>
              <w:trPr>
                <w:trHeight w:val="162"/>
              </w:trPr>
              <w:tc>
                <w:tcPr>
                  <w:tcW w:w="1792" w:type="dxa"/>
                  <w:tcBorders>
                    <w:top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проектный вариант</w:t>
                  </w:r>
                </w:p>
              </w:tc>
              <w:tc>
                <w:tcPr>
                  <w:tcW w:w="559" w:type="dxa"/>
                  <w:tcBorders>
                    <w:top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488,0</w:t>
                  </w:r>
                </w:p>
              </w:tc>
              <w:tc>
                <w:tcPr>
                  <w:tcW w:w="466" w:type="dxa"/>
                  <w:tcBorders>
                    <w:top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494,0</w:t>
                  </w:r>
                </w:p>
              </w:tc>
              <w:tc>
                <w:tcPr>
                  <w:tcW w:w="466" w:type="dxa"/>
                  <w:tcBorders>
                    <w:top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496,0</w:t>
                  </w:r>
                </w:p>
              </w:tc>
              <w:tc>
                <w:tcPr>
                  <w:tcW w:w="466" w:type="dxa"/>
                  <w:tcBorders>
                    <w:top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505,0</w:t>
                  </w:r>
                </w:p>
              </w:tc>
              <w:tc>
                <w:tcPr>
                  <w:tcW w:w="470" w:type="dxa"/>
                  <w:tcBorders>
                    <w:top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513,0</w:t>
                  </w:r>
                </w:p>
              </w:tc>
              <w:tc>
                <w:tcPr>
                  <w:tcW w:w="462" w:type="dxa"/>
                  <w:tcBorders>
                    <w:top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522</w:t>
                  </w:r>
                </w:p>
              </w:tc>
              <w:tc>
                <w:tcPr>
                  <w:tcW w:w="466" w:type="dxa"/>
                  <w:tcBorders>
                    <w:top w:val="nil"/>
                  </w:tcBorders>
                </w:tcPr>
                <w:p w:rsidR="000F40E3" w:rsidRPr="00D423B2" w:rsidRDefault="000F40E3" w:rsidP="000F40E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531</w:t>
                  </w:r>
                </w:p>
              </w:tc>
            </w:tr>
          </w:tbl>
          <w:p w:rsidR="003C3395" w:rsidRPr="00D423B2" w:rsidRDefault="003C3395" w:rsidP="00347764">
            <w:pPr>
              <w:jc w:val="both"/>
              <w:rPr>
                <w:rFonts w:ascii="Times New Roman" w:hAnsi="Times New Roman" w:cs="Times New Roman"/>
                <w:sz w:val="24"/>
                <w:szCs w:val="24"/>
              </w:rPr>
            </w:pPr>
          </w:p>
          <w:p w:rsidR="00A17D8D" w:rsidRPr="00D423B2" w:rsidRDefault="00A17D8D" w:rsidP="00A17D8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Резервом дальнейшего развития нефтедобычи в стране, восполнения сырьевой базы нефти и газа является увеличение масштабов внедрения методов увеличения нефтеотдачи (далее - МУН) и вовлечение в разработку запасов высоковязкой нефти (далее - ВВН), сверхвысоковязкой нефти (далее - СВН), а также запасов в слабопроницаемых коллекторах.</w:t>
            </w:r>
          </w:p>
          <w:p w:rsidR="00A17D8D" w:rsidRPr="00D423B2" w:rsidRDefault="00A17D8D" w:rsidP="00A17D8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Анализ показал, что коэффициент извлечения нефти в Российской Федерации неизменно падал с 1965 года. Только в последние годы наметилась тенденция его стабилизации. В Республике Татарстан с 1995 по 2013 год по месторождениям ОАО "Татнефть" КИН вырос с 0,42 до 0,47.</w:t>
            </w:r>
          </w:p>
          <w:p w:rsidR="00A17D8D" w:rsidRPr="00D423B2" w:rsidRDefault="00A17D8D" w:rsidP="00A17D8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Сравнительная динамика изменения КИН в Российской Федерации и Республике Татарстан приведена на </w:t>
            </w:r>
            <w:hyperlink w:anchor="P270" w:history="1">
              <w:r w:rsidRPr="00D423B2">
                <w:rPr>
                  <w:rFonts w:ascii="Times New Roman" w:eastAsia="Times New Roman" w:hAnsi="Times New Roman" w:cs="Times New Roman"/>
                  <w:sz w:val="24"/>
                  <w:szCs w:val="24"/>
                  <w:lang w:eastAsia="ru-RU"/>
                </w:rPr>
                <w:t>рисунке 2</w:t>
              </w:r>
            </w:hyperlink>
            <w:r w:rsidRPr="00D423B2">
              <w:rPr>
                <w:rFonts w:ascii="Times New Roman" w:eastAsia="Times New Roman" w:hAnsi="Times New Roman" w:cs="Times New Roman"/>
                <w:sz w:val="24"/>
                <w:szCs w:val="24"/>
                <w:lang w:eastAsia="ru-RU"/>
              </w:rPr>
              <w:t>.</w:t>
            </w:r>
          </w:p>
          <w:p w:rsidR="00733633" w:rsidRPr="00D423B2" w:rsidRDefault="00733633" w:rsidP="00347764">
            <w:pPr>
              <w:jc w:val="both"/>
              <w:rPr>
                <w:rFonts w:ascii="Times New Roman" w:hAnsi="Times New Roman" w:cs="Times New Roman"/>
                <w:sz w:val="24"/>
                <w:szCs w:val="24"/>
              </w:rPr>
            </w:pPr>
          </w:p>
          <w:p w:rsidR="001D490F" w:rsidRPr="00D423B2" w:rsidRDefault="00A17D8D" w:rsidP="00A17D8D">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16B876B9" wp14:editId="3DAF4331">
                  <wp:extent cx="2438400" cy="1312756"/>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58282" cy="1323460"/>
                          </a:xfrm>
                          <a:prstGeom prst="rect">
                            <a:avLst/>
                          </a:prstGeom>
                          <a:noFill/>
                        </pic:spPr>
                      </pic:pic>
                    </a:graphicData>
                  </a:graphic>
                </wp:inline>
              </w:drawing>
            </w:r>
          </w:p>
          <w:p w:rsidR="00A17D8D" w:rsidRPr="00D423B2" w:rsidRDefault="00A17D8D" w:rsidP="00A17D8D">
            <w:pPr>
              <w:jc w:val="center"/>
              <w:rPr>
                <w:rFonts w:ascii="Times New Roman" w:hAnsi="Times New Roman" w:cs="Times New Roman"/>
                <w:sz w:val="24"/>
                <w:szCs w:val="24"/>
              </w:rPr>
            </w:pPr>
          </w:p>
          <w:p w:rsidR="008D09A1" w:rsidRPr="00D423B2" w:rsidRDefault="008D09A1" w:rsidP="008D09A1">
            <w:pPr>
              <w:jc w:val="center"/>
              <w:rPr>
                <w:rFonts w:ascii="Times New Roman" w:hAnsi="Times New Roman" w:cs="Times New Roman"/>
                <w:sz w:val="18"/>
                <w:szCs w:val="18"/>
              </w:rPr>
            </w:pPr>
            <w:r w:rsidRPr="00D423B2">
              <w:rPr>
                <w:rFonts w:ascii="Times New Roman" w:hAnsi="Times New Roman" w:cs="Times New Roman"/>
                <w:sz w:val="18"/>
                <w:szCs w:val="18"/>
              </w:rPr>
              <w:t>Рис. 2. Динамика проектной нефтеотдачи в России,</w:t>
            </w:r>
          </w:p>
          <w:p w:rsidR="008D09A1" w:rsidRPr="00D423B2" w:rsidRDefault="008D09A1" w:rsidP="008D09A1">
            <w:pPr>
              <w:jc w:val="center"/>
              <w:rPr>
                <w:rFonts w:ascii="Times New Roman" w:hAnsi="Times New Roman" w:cs="Times New Roman"/>
                <w:sz w:val="18"/>
                <w:szCs w:val="18"/>
              </w:rPr>
            </w:pPr>
            <w:r w:rsidRPr="00D423B2">
              <w:rPr>
                <w:rFonts w:ascii="Times New Roman" w:hAnsi="Times New Roman" w:cs="Times New Roman"/>
                <w:sz w:val="18"/>
                <w:szCs w:val="18"/>
              </w:rPr>
              <w:t>Татарстане, США и Ханты-Мансийском автономном округе</w:t>
            </w:r>
          </w:p>
          <w:p w:rsidR="00A17D8D" w:rsidRPr="00D423B2" w:rsidRDefault="00A17D8D" w:rsidP="00A17D8D">
            <w:pPr>
              <w:jc w:val="center"/>
              <w:rPr>
                <w:rFonts w:ascii="Times New Roman" w:hAnsi="Times New Roman" w:cs="Times New Roman"/>
                <w:sz w:val="24"/>
                <w:szCs w:val="24"/>
              </w:rPr>
            </w:pPr>
          </w:p>
          <w:p w:rsidR="008D09A1" w:rsidRPr="00D423B2" w:rsidRDefault="008D09A1" w:rsidP="008D09A1">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lastRenderedPageBreak/>
              <w:t>Причинами снижения КИН являются:</w:t>
            </w:r>
          </w:p>
          <w:p w:rsidR="008D09A1" w:rsidRPr="00D423B2" w:rsidRDefault="008D09A1" w:rsidP="008D09A1">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неадекватный реальному геологическому строению подбор технологий разработки и методов увеличения нефтеотдачи пластов;</w:t>
            </w:r>
          </w:p>
          <w:p w:rsidR="008D09A1" w:rsidRPr="00D423B2" w:rsidRDefault="008D09A1" w:rsidP="008D09A1">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разбалансирование систем разработки за счет вывода из эксплуатации огромного (до 50 процентов и более) эксплуатационного фонда скважин в некоторых нефтяных компаниях;</w:t>
            </w:r>
          </w:p>
          <w:p w:rsidR="008D09A1" w:rsidRPr="00D423B2" w:rsidRDefault="008D09A1" w:rsidP="008D09A1">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опережающая выработка наиболее продуктивных пластов в целях получения максимальной прибыли при наименьших затратах;</w:t>
            </w:r>
          </w:p>
          <w:p w:rsidR="008D09A1" w:rsidRPr="00D423B2" w:rsidRDefault="008D09A1" w:rsidP="008D09A1">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резкое сокращение применения МУН пластов и поиска новых эффективных технологий увеличения КИН;</w:t>
            </w:r>
          </w:p>
          <w:p w:rsidR="008D09A1" w:rsidRPr="00D423B2" w:rsidRDefault="008D09A1" w:rsidP="008D09A1">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отсутствие мер налогового стимулирования при разработке и внедрении современных третичных методов повышения нефтеотдачи.</w:t>
            </w:r>
          </w:p>
          <w:p w:rsidR="008D09A1" w:rsidRPr="00D423B2" w:rsidRDefault="008D09A1" w:rsidP="008D09A1">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современных условиях все более актуальным становится не абсолютный рост добычи, а экономика ее добычи, обеспечение углубленного передела углеводородного сырья внутри страны на предприятиях нефтепереработки и нефтехимии.</w:t>
            </w:r>
          </w:p>
          <w:p w:rsidR="008D09A1" w:rsidRPr="00D423B2" w:rsidRDefault="008D09A1" w:rsidP="008D09A1">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Республике Татарстан по состоянию на 1 января 2015 года в Государственном балансе запасов учтены 205 нефтяных месторождений с суммарными извлекаемыми запасами нефти категории А + В + С1 в размере 928,3 млн тонн. Объем предварительно оцененных запасов категории С2 - 175,2 млн тонн, ресурсов категории Д1 + Д2 - 862,1 млн тонн. Накопленная добыча нефти по республике с момента начала промышленной разработки нефтяных месторождений составила 3181,2 млн тонн.</w:t>
            </w:r>
          </w:p>
          <w:p w:rsidR="008D09A1" w:rsidRPr="00D423B2" w:rsidRDefault="008D09A1" w:rsidP="008D09A1">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По оценке независимой компании "Миллер </w:t>
            </w:r>
            <w:r w:rsidRPr="00D423B2">
              <w:rPr>
                <w:rFonts w:ascii="Times New Roman" w:eastAsia="Times New Roman" w:hAnsi="Times New Roman" w:cs="Times New Roman"/>
                <w:sz w:val="24"/>
                <w:szCs w:val="24"/>
                <w:lang w:eastAsia="ru-RU"/>
              </w:rPr>
              <w:lastRenderedPageBreak/>
              <w:t>энд Ленц, Лтд.", по состоянию на 1 января 2014 года подтвержденный объем запасов промышленных категорий по ОАО "Татнефть" составляет 847,3 млн тонн.</w:t>
            </w:r>
          </w:p>
          <w:p w:rsidR="00982890" w:rsidRPr="00D423B2" w:rsidRDefault="00982890" w:rsidP="008D09A1">
            <w:pPr>
              <w:widowControl w:val="0"/>
              <w:autoSpaceDE w:val="0"/>
              <w:autoSpaceDN w:val="0"/>
              <w:ind w:firstLine="540"/>
              <w:jc w:val="both"/>
              <w:rPr>
                <w:rFonts w:ascii="Times New Roman" w:eastAsia="Times New Roman" w:hAnsi="Times New Roman" w:cs="Times New Roman"/>
                <w:sz w:val="24"/>
                <w:szCs w:val="24"/>
                <w:lang w:eastAsia="ru-RU"/>
              </w:rPr>
            </w:pPr>
          </w:p>
          <w:p w:rsidR="00982890" w:rsidRPr="00D423B2" w:rsidRDefault="00982890" w:rsidP="00982890">
            <w:pPr>
              <w:widowControl w:val="0"/>
              <w:autoSpaceDE w:val="0"/>
              <w:autoSpaceDN w:val="0"/>
              <w:ind w:firstLine="54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07B17A2F" wp14:editId="3EA90636">
                  <wp:extent cx="2259623" cy="1036320"/>
                  <wp:effectExtent l="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92820" cy="1051545"/>
                          </a:xfrm>
                          <a:prstGeom prst="rect">
                            <a:avLst/>
                          </a:prstGeom>
                          <a:noFill/>
                        </pic:spPr>
                      </pic:pic>
                    </a:graphicData>
                  </a:graphic>
                </wp:inline>
              </w:drawing>
            </w:r>
          </w:p>
          <w:p w:rsidR="00246D2A" w:rsidRPr="00D423B2" w:rsidRDefault="00246D2A" w:rsidP="00246D2A">
            <w:pPr>
              <w:jc w:val="center"/>
              <w:rPr>
                <w:rFonts w:ascii="Times New Roman" w:hAnsi="Times New Roman" w:cs="Times New Roman"/>
                <w:sz w:val="18"/>
                <w:szCs w:val="18"/>
              </w:rPr>
            </w:pPr>
            <w:r w:rsidRPr="00D423B2">
              <w:rPr>
                <w:rFonts w:ascii="Times New Roman" w:hAnsi="Times New Roman" w:cs="Times New Roman"/>
                <w:sz w:val="18"/>
                <w:szCs w:val="18"/>
              </w:rPr>
              <w:t>Рис. 3. Распределение добычи нефти ОАО "Татнефть" по</w:t>
            </w:r>
          </w:p>
          <w:p w:rsidR="00A17D8D" w:rsidRPr="00D423B2" w:rsidRDefault="00246D2A" w:rsidP="00246D2A">
            <w:pPr>
              <w:jc w:val="center"/>
              <w:rPr>
                <w:rFonts w:ascii="Times New Roman" w:hAnsi="Times New Roman" w:cs="Times New Roman"/>
                <w:sz w:val="18"/>
                <w:szCs w:val="18"/>
              </w:rPr>
            </w:pPr>
            <w:r w:rsidRPr="00D423B2">
              <w:rPr>
                <w:rFonts w:ascii="Times New Roman" w:hAnsi="Times New Roman" w:cs="Times New Roman"/>
                <w:sz w:val="18"/>
                <w:szCs w:val="18"/>
              </w:rPr>
              <w:t>выработанности месторождений</w:t>
            </w:r>
          </w:p>
          <w:p w:rsidR="00246D2A" w:rsidRPr="00D423B2" w:rsidRDefault="00246D2A" w:rsidP="00246D2A">
            <w:pPr>
              <w:jc w:val="center"/>
              <w:rPr>
                <w:rFonts w:ascii="Times New Roman" w:hAnsi="Times New Roman" w:cs="Times New Roman"/>
                <w:sz w:val="18"/>
                <w:szCs w:val="18"/>
              </w:rPr>
            </w:pPr>
          </w:p>
          <w:p w:rsidR="00246D2A" w:rsidRPr="00D423B2" w:rsidRDefault="000B0D69" w:rsidP="00246D2A">
            <w:pPr>
              <w:jc w:val="center"/>
              <w:rPr>
                <w:rFonts w:ascii="Times New Roman" w:hAnsi="Times New Roman" w:cs="Times New Roman"/>
                <w:sz w:val="18"/>
                <w:szCs w:val="18"/>
              </w:rPr>
            </w:pPr>
            <w:r w:rsidRPr="00D423B2">
              <w:rPr>
                <w:rFonts w:ascii="Times New Roman" w:hAnsi="Times New Roman" w:cs="Times New Roman"/>
                <w:noProof/>
                <w:sz w:val="18"/>
                <w:szCs w:val="18"/>
                <w:lang w:eastAsia="ru-RU"/>
              </w:rPr>
              <w:drawing>
                <wp:inline distT="0" distB="0" distL="0" distR="0" wp14:anchorId="756014BD" wp14:editId="02088FAC">
                  <wp:extent cx="1957908" cy="1066800"/>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95329" cy="1087189"/>
                          </a:xfrm>
                          <a:prstGeom prst="rect">
                            <a:avLst/>
                          </a:prstGeom>
                          <a:noFill/>
                        </pic:spPr>
                      </pic:pic>
                    </a:graphicData>
                  </a:graphic>
                </wp:inline>
              </w:drawing>
            </w:r>
          </w:p>
          <w:p w:rsidR="000B0D69" w:rsidRPr="00D423B2" w:rsidRDefault="000B0D69" w:rsidP="00246D2A">
            <w:pPr>
              <w:jc w:val="center"/>
              <w:rPr>
                <w:rFonts w:ascii="Times New Roman" w:hAnsi="Times New Roman" w:cs="Times New Roman"/>
                <w:sz w:val="18"/>
                <w:szCs w:val="18"/>
              </w:rPr>
            </w:pPr>
          </w:p>
          <w:p w:rsidR="00027ADF" w:rsidRPr="00F06FED" w:rsidRDefault="00027ADF" w:rsidP="00027ADF">
            <w:pPr>
              <w:widowControl w:val="0"/>
              <w:autoSpaceDE w:val="0"/>
              <w:autoSpaceDN w:val="0"/>
              <w:jc w:val="center"/>
              <w:rPr>
                <w:rFonts w:ascii="Times New Roman" w:eastAsia="Times New Roman" w:hAnsi="Times New Roman" w:cs="Times New Roman"/>
                <w:sz w:val="16"/>
                <w:szCs w:val="16"/>
                <w:lang w:eastAsia="ru-RU"/>
              </w:rPr>
            </w:pPr>
            <w:r w:rsidRPr="00F06FED">
              <w:rPr>
                <w:rFonts w:ascii="Times New Roman" w:eastAsia="Times New Roman" w:hAnsi="Times New Roman" w:cs="Times New Roman"/>
                <w:sz w:val="16"/>
                <w:szCs w:val="16"/>
                <w:lang w:eastAsia="ru-RU"/>
              </w:rPr>
              <w:t>Рис. 4. Структура извлекаемых запасов нефти категории А + В</w:t>
            </w:r>
          </w:p>
          <w:p w:rsidR="00027ADF" w:rsidRPr="00F06FED" w:rsidRDefault="00027ADF" w:rsidP="00027ADF">
            <w:pPr>
              <w:pStyle w:val="ConsPlusNormal"/>
              <w:ind w:firstLine="540"/>
              <w:jc w:val="both"/>
              <w:rPr>
                <w:rFonts w:ascii="Times New Roman" w:hAnsi="Times New Roman" w:cs="Times New Roman"/>
                <w:sz w:val="16"/>
                <w:szCs w:val="16"/>
              </w:rPr>
            </w:pPr>
          </w:p>
          <w:p w:rsidR="00027ADF" w:rsidRPr="00D423B2" w:rsidRDefault="00027ADF" w:rsidP="00027AD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С1 по месторождениям ОАО "Татнефть"</w:t>
            </w:r>
          </w:p>
          <w:p w:rsidR="00027ADF" w:rsidRPr="00D423B2" w:rsidRDefault="00027ADF" w:rsidP="00027AD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 состоянию на 01.01.2014</w:t>
            </w:r>
          </w:p>
          <w:p w:rsidR="00027ADF" w:rsidRPr="00D423B2" w:rsidRDefault="00027ADF" w:rsidP="00027AD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Восполнение добычи нефти запасами, по данным ОАО "Татнефть" и МНК, показано в таблицах 4 и 5.</w:t>
            </w:r>
          </w:p>
          <w:p w:rsidR="00027ADF" w:rsidRPr="00D423B2" w:rsidRDefault="00027ADF" w:rsidP="00027AD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 состоянию на 2014 год по ОАО "Татнефть" воспроизводство минерально-сырьевой базы составляет 142 процента, по малым нефтяным компаниям республики - 141,4 процента.</w:t>
            </w:r>
          </w:p>
          <w:p w:rsidR="00027ADF" w:rsidRPr="00D423B2" w:rsidRDefault="00027ADF" w:rsidP="00027ADF">
            <w:pPr>
              <w:pStyle w:val="ConsPlusNormal"/>
              <w:ind w:firstLine="540"/>
              <w:jc w:val="both"/>
              <w:rPr>
                <w:rFonts w:ascii="Times New Roman" w:hAnsi="Times New Roman" w:cs="Times New Roman"/>
                <w:sz w:val="24"/>
                <w:szCs w:val="24"/>
              </w:rPr>
            </w:pPr>
          </w:p>
          <w:p w:rsidR="00027ADF" w:rsidRPr="00D423B2" w:rsidRDefault="00027ADF" w:rsidP="00027ADF">
            <w:pPr>
              <w:pStyle w:val="ConsPlusNormal"/>
              <w:jc w:val="right"/>
              <w:rPr>
                <w:rFonts w:ascii="Times New Roman" w:hAnsi="Times New Roman" w:cs="Times New Roman"/>
                <w:sz w:val="24"/>
                <w:szCs w:val="24"/>
              </w:rPr>
            </w:pPr>
            <w:r w:rsidRPr="00D423B2">
              <w:rPr>
                <w:rFonts w:ascii="Times New Roman" w:hAnsi="Times New Roman" w:cs="Times New Roman"/>
                <w:sz w:val="24"/>
                <w:szCs w:val="24"/>
              </w:rPr>
              <w:t>Таблица 4</w:t>
            </w:r>
          </w:p>
          <w:p w:rsidR="00027ADF" w:rsidRPr="00D423B2" w:rsidRDefault="00027ADF" w:rsidP="00027ADF">
            <w:pPr>
              <w:widowControl w:val="0"/>
              <w:autoSpaceDE w:val="0"/>
              <w:autoSpaceDN w:val="0"/>
              <w:jc w:val="center"/>
              <w:rPr>
                <w:rFonts w:ascii="Times New Roman" w:eastAsia="Times New Roman" w:hAnsi="Times New Roman" w:cs="Times New Roman"/>
                <w:sz w:val="24"/>
                <w:szCs w:val="24"/>
                <w:lang w:eastAsia="ru-RU"/>
              </w:rPr>
            </w:pPr>
          </w:p>
          <w:p w:rsidR="00027ADF" w:rsidRPr="00D423B2" w:rsidRDefault="00027ADF" w:rsidP="00027ADF">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Динамика восполнения добычи нефти запасами </w:t>
            </w:r>
            <w:r w:rsidRPr="00D423B2">
              <w:rPr>
                <w:rFonts w:ascii="Times New Roman" w:eastAsia="Times New Roman" w:hAnsi="Times New Roman" w:cs="Times New Roman"/>
                <w:sz w:val="24"/>
                <w:szCs w:val="24"/>
                <w:lang w:eastAsia="ru-RU"/>
              </w:rPr>
              <w:lastRenderedPageBreak/>
              <w:t>по ОАО "Татнефть"</w:t>
            </w:r>
          </w:p>
          <w:p w:rsidR="000B0D69" w:rsidRPr="00D423B2" w:rsidRDefault="000B0D69" w:rsidP="00246D2A">
            <w:pPr>
              <w:jc w:val="center"/>
              <w:rPr>
                <w:rFonts w:ascii="Times New Roman" w:hAnsi="Times New Roman" w:cs="Times New Roman"/>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11"/>
              <w:gridCol w:w="358"/>
              <w:gridCol w:w="447"/>
              <w:gridCol w:w="447"/>
              <w:gridCol w:w="358"/>
              <w:gridCol w:w="447"/>
              <w:gridCol w:w="358"/>
              <w:gridCol w:w="358"/>
              <w:gridCol w:w="358"/>
              <w:gridCol w:w="447"/>
              <w:gridCol w:w="447"/>
            </w:tblGrid>
            <w:tr w:rsidR="00D423B2" w:rsidRPr="00D423B2" w:rsidTr="00F06FED">
              <w:trPr>
                <w:trHeight w:val="389"/>
              </w:trPr>
              <w:tc>
                <w:tcPr>
                  <w:tcW w:w="1111"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Наименование показателя/годы</w:t>
                  </w:r>
                </w:p>
              </w:tc>
              <w:tc>
                <w:tcPr>
                  <w:tcW w:w="358"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2005</w:t>
                  </w:r>
                </w:p>
              </w:tc>
              <w:tc>
                <w:tcPr>
                  <w:tcW w:w="447"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2006</w:t>
                  </w:r>
                </w:p>
              </w:tc>
              <w:tc>
                <w:tcPr>
                  <w:tcW w:w="447"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2007</w:t>
                  </w:r>
                </w:p>
              </w:tc>
              <w:tc>
                <w:tcPr>
                  <w:tcW w:w="358"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2008</w:t>
                  </w:r>
                </w:p>
              </w:tc>
              <w:tc>
                <w:tcPr>
                  <w:tcW w:w="447"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2009</w:t>
                  </w:r>
                </w:p>
              </w:tc>
              <w:tc>
                <w:tcPr>
                  <w:tcW w:w="358"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2010</w:t>
                  </w:r>
                </w:p>
              </w:tc>
              <w:tc>
                <w:tcPr>
                  <w:tcW w:w="358"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2011</w:t>
                  </w:r>
                </w:p>
              </w:tc>
              <w:tc>
                <w:tcPr>
                  <w:tcW w:w="358"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2012</w:t>
                  </w:r>
                </w:p>
              </w:tc>
              <w:tc>
                <w:tcPr>
                  <w:tcW w:w="447"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2013</w:t>
                  </w:r>
                </w:p>
              </w:tc>
              <w:tc>
                <w:tcPr>
                  <w:tcW w:w="447" w:type="dxa"/>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2014</w:t>
                  </w:r>
                </w:p>
              </w:tc>
            </w:tr>
            <w:tr w:rsidR="00D423B2" w:rsidRPr="00D423B2" w:rsidTr="00F06FED">
              <w:trPr>
                <w:trHeight w:val="389"/>
              </w:trPr>
              <w:tc>
                <w:tcPr>
                  <w:tcW w:w="1111" w:type="dxa"/>
                </w:tcPr>
                <w:p w:rsidR="00D530FF" w:rsidRPr="00D423B2" w:rsidRDefault="00D530FF" w:rsidP="00D530FF">
                  <w:pPr>
                    <w:pStyle w:val="ConsPlusNormal"/>
                    <w:rPr>
                      <w:rFonts w:ascii="Times New Roman" w:hAnsi="Times New Roman" w:cs="Times New Roman"/>
                      <w:sz w:val="16"/>
                      <w:szCs w:val="16"/>
                    </w:rPr>
                  </w:pPr>
                  <w:r w:rsidRPr="00D423B2">
                    <w:rPr>
                      <w:rFonts w:ascii="Times New Roman" w:hAnsi="Times New Roman" w:cs="Times New Roman"/>
                      <w:sz w:val="16"/>
                      <w:szCs w:val="16"/>
                    </w:rPr>
                    <w:t>1. Добыча нефти, млн тонн</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25,3</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25,4</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25,7</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25,8</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25,9</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25,9</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25,9</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26,0</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26,1</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26,2</w:t>
                  </w:r>
                </w:p>
              </w:tc>
            </w:tr>
            <w:tr w:rsidR="00D423B2" w:rsidRPr="00D423B2" w:rsidTr="00F06FED">
              <w:trPr>
                <w:trHeight w:val="1366"/>
              </w:trPr>
              <w:tc>
                <w:tcPr>
                  <w:tcW w:w="1111" w:type="dxa"/>
                </w:tcPr>
                <w:p w:rsidR="00D530FF" w:rsidRPr="00D423B2" w:rsidRDefault="00D530FF" w:rsidP="00D530FF">
                  <w:pPr>
                    <w:pStyle w:val="ConsPlusNormal"/>
                    <w:rPr>
                      <w:rFonts w:ascii="Times New Roman" w:hAnsi="Times New Roman" w:cs="Times New Roman"/>
                      <w:sz w:val="16"/>
                      <w:szCs w:val="16"/>
                    </w:rPr>
                  </w:pPr>
                  <w:r w:rsidRPr="00D423B2">
                    <w:rPr>
                      <w:rFonts w:ascii="Times New Roman" w:hAnsi="Times New Roman" w:cs="Times New Roman"/>
                      <w:sz w:val="16"/>
                      <w:szCs w:val="16"/>
                    </w:rPr>
                    <w:t xml:space="preserve">2. Прирост запасов по категории </w:t>
                  </w:r>
                  <w:r w:rsidRPr="00D423B2">
                    <w:rPr>
                      <w:rFonts w:ascii="Times New Roman" w:hAnsi="Times New Roman" w:cs="Times New Roman"/>
                      <w:noProof/>
                      <w:position w:val="-8"/>
                      <w:sz w:val="16"/>
                      <w:szCs w:val="16"/>
                    </w:rPr>
                    <w:drawing>
                      <wp:inline distT="0" distB="0" distL="0" distR="0" wp14:anchorId="1D7C7A73" wp14:editId="4B7253C3">
                        <wp:extent cx="200025" cy="247650"/>
                        <wp:effectExtent l="0" t="0" r="9525" b="0"/>
                        <wp:docPr id="7" name="Рисунок 7" descr="base_23915_96336_327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base_23915_96336_32772"/>
                                <pic:cNvPicPr preferRelativeResize="0">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0025" cy="247650"/>
                                </a:xfrm>
                                <a:prstGeom prst="rect">
                                  <a:avLst/>
                                </a:prstGeom>
                                <a:noFill/>
                                <a:ln>
                                  <a:noFill/>
                                </a:ln>
                              </pic:spPr>
                            </pic:pic>
                          </a:graphicData>
                        </a:graphic>
                      </wp:inline>
                    </w:drawing>
                  </w:r>
                  <w:r w:rsidRPr="00D423B2">
                    <w:rPr>
                      <w:rFonts w:ascii="Times New Roman" w:hAnsi="Times New Roman" w:cs="Times New Roman"/>
                      <w:sz w:val="16"/>
                      <w:szCs w:val="16"/>
                    </w:rPr>
                    <w:t xml:space="preserve"> + </w:t>
                  </w:r>
                  <w:r w:rsidRPr="00D423B2">
                    <w:rPr>
                      <w:rFonts w:ascii="Times New Roman" w:hAnsi="Times New Roman" w:cs="Times New Roman"/>
                      <w:noProof/>
                      <w:position w:val="-8"/>
                      <w:sz w:val="16"/>
                      <w:szCs w:val="16"/>
                    </w:rPr>
                    <w:drawing>
                      <wp:inline distT="0" distB="0" distL="0" distR="0" wp14:anchorId="7C044357" wp14:editId="4A986933">
                        <wp:extent cx="219075" cy="247650"/>
                        <wp:effectExtent l="0" t="0" r="9525" b="0"/>
                        <wp:docPr id="6" name="Рисунок 6" descr="base_23915_96336_327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base_23915_96336_32773"/>
                                <pic:cNvPicPr preferRelativeResize="0">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r w:rsidRPr="00D423B2">
                    <w:rPr>
                      <w:rFonts w:ascii="Times New Roman" w:hAnsi="Times New Roman" w:cs="Times New Roman"/>
                      <w:sz w:val="16"/>
                      <w:szCs w:val="16"/>
                    </w:rPr>
                    <w:t xml:space="preserve"> (с учетом списания запасов), млн тонн, в том числе</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6,6</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33,7</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22</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16,2</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47,2</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24,8</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20,3</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18,4</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34,4</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37,2</w:t>
                  </w:r>
                </w:p>
              </w:tc>
            </w:tr>
            <w:tr w:rsidR="00D423B2" w:rsidRPr="00D423B2" w:rsidTr="00F06FED">
              <w:trPr>
                <w:trHeight w:val="389"/>
              </w:trPr>
              <w:tc>
                <w:tcPr>
                  <w:tcW w:w="1111" w:type="dxa"/>
                </w:tcPr>
                <w:p w:rsidR="00D530FF" w:rsidRPr="00D423B2" w:rsidRDefault="00D530FF" w:rsidP="00D530FF">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за счет ГРР</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2,7</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27,7</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19</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12,4</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39,3</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21,1</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8,5</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16,5</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13</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10,7</w:t>
                  </w:r>
                </w:p>
              </w:tc>
            </w:tr>
            <w:tr w:rsidR="00D423B2" w:rsidRPr="00D423B2" w:rsidTr="00F06FED">
              <w:trPr>
                <w:trHeight w:val="780"/>
              </w:trPr>
              <w:tc>
                <w:tcPr>
                  <w:tcW w:w="1111" w:type="dxa"/>
                </w:tcPr>
                <w:p w:rsidR="00D530FF" w:rsidRPr="00D423B2" w:rsidRDefault="00D530FF" w:rsidP="00D530FF">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за счет изменения КИН и переоценки</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3,9</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3,8</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7,9</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3,7</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11,8</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1,9</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21,4</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26,5</w:t>
                  </w:r>
                </w:p>
              </w:tc>
            </w:tr>
            <w:tr w:rsidR="00D423B2" w:rsidRPr="00D423B2" w:rsidTr="00F06FED">
              <w:trPr>
                <w:trHeight w:val="802"/>
              </w:trPr>
              <w:tc>
                <w:tcPr>
                  <w:tcW w:w="1111" w:type="dxa"/>
                </w:tcPr>
                <w:p w:rsidR="00D530FF" w:rsidRPr="00D423B2" w:rsidRDefault="00D530FF" w:rsidP="00D530FF">
                  <w:pPr>
                    <w:pStyle w:val="ConsPlusNormal"/>
                    <w:rPr>
                      <w:rFonts w:ascii="Times New Roman" w:hAnsi="Times New Roman" w:cs="Times New Roman"/>
                      <w:sz w:val="16"/>
                      <w:szCs w:val="16"/>
                    </w:rPr>
                  </w:pPr>
                  <w:r w:rsidRPr="00D423B2">
                    <w:rPr>
                      <w:rFonts w:ascii="Times New Roman" w:hAnsi="Times New Roman" w:cs="Times New Roman"/>
                      <w:sz w:val="16"/>
                      <w:szCs w:val="16"/>
                    </w:rPr>
                    <w:t>3. Воспроизводство минерально-сырьевой базы, %</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26,1</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132,7</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85,6</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62,8</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182,2</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95,8</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78,4</w:t>
                  </w:r>
                </w:p>
              </w:tc>
              <w:tc>
                <w:tcPr>
                  <w:tcW w:w="358"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70,8</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131,8</w:t>
                  </w:r>
                </w:p>
              </w:tc>
              <w:tc>
                <w:tcPr>
                  <w:tcW w:w="447" w:type="dxa"/>
                  <w:vAlign w:val="center"/>
                </w:tcPr>
                <w:p w:rsidR="00D530FF" w:rsidRPr="00D423B2" w:rsidRDefault="00D530FF" w:rsidP="00D530F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142</w:t>
                  </w:r>
                </w:p>
              </w:tc>
            </w:tr>
          </w:tbl>
          <w:p w:rsidR="00BE130C" w:rsidRPr="00D423B2" w:rsidRDefault="00BE130C" w:rsidP="00BE130C">
            <w:pPr>
              <w:rPr>
                <w:rFonts w:ascii="Times New Roman" w:hAnsi="Times New Roman" w:cs="Times New Roman"/>
                <w:i/>
                <w:sz w:val="18"/>
                <w:szCs w:val="18"/>
              </w:rPr>
            </w:pPr>
            <w:r w:rsidRPr="00D423B2">
              <w:rPr>
                <w:rFonts w:ascii="Times New Roman" w:hAnsi="Times New Roman" w:cs="Times New Roman"/>
                <w:i/>
                <w:sz w:val="18"/>
                <w:szCs w:val="18"/>
              </w:rPr>
              <w:t>по данным ОАО "Татнефть".</w:t>
            </w:r>
          </w:p>
          <w:p w:rsidR="00BE130C" w:rsidRPr="00D423B2" w:rsidRDefault="00BE130C" w:rsidP="00BE130C">
            <w:pPr>
              <w:jc w:val="right"/>
              <w:rPr>
                <w:rFonts w:ascii="Times New Roman" w:hAnsi="Times New Roman" w:cs="Times New Roman"/>
                <w:sz w:val="24"/>
                <w:szCs w:val="24"/>
              </w:rPr>
            </w:pPr>
            <w:r w:rsidRPr="00D423B2">
              <w:rPr>
                <w:rFonts w:ascii="Times New Roman" w:hAnsi="Times New Roman" w:cs="Times New Roman"/>
                <w:sz w:val="24"/>
                <w:szCs w:val="24"/>
              </w:rPr>
              <w:t>Таблица 5</w:t>
            </w:r>
          </w:p>
          <w:p w:rsidR="00BE130C" w:rsidRPr="00D423B2" w:rsidRDefault="00BE130C" w:rsidP="00BE130C">
            <w:pPr>
              <w:rPr>
                <w:rFonts w:ascii="Times New Roman" w:hAnsi="Times New Roman" w:cs="Times New Roman"/>
                <w:sz w:val="24"/>
                <w:szCs w:val="24"/>
              </w:rPr>
            </w:pPr>
          </w:p>
          <w:p w:rsidR="00BE130C" w:rsidRPr="00D423B2" w:rsidRDefault="00BE130C" w:rsidP="00BE130C">
            <w:pPr>
              <w:rPr>
                <w:rFonts w:ascii="Times New Roman" w:hAnsi="Times New Roman" w:cs="Times New Roman"/>
                <w:sz w:val="24"/>
                <w:szCs w:val="24"/>
              </w:rPr>
            </w:pPr>
            <w:r w:rsidRPr="00D423B2">
              <w:rPr>
                <w:rFonts w:ascii="Times New Roman" w:hAnsi="Times New Roman" w:cs="Times New Roman"/>
                <w:sz w:val="24"/>
                <w:szCs w:val="24"/>
              </w:rPr>
              <w:t>Динамика восполнения добычи нефти запасами по МНК</w:t>
            </w:r>
          </w:p>
          <w:p w:rsidR="00A14CD2" w:rsidRPr="00D423B2" w:rsidRDefault="00A14CD2" w:rsidP="00A14CD2">
            <w:pPr>
              <w:widowControl w:val="0"/>
              <w:autoSpaceDE w:val="0"/>
              <w:autoSpaceDN w:val="0"/>
              <w:jc w:val="both"/>
              <w:rPr>
                <w:rFonts w:ascii="Calibri" w:eastAsia="Times New Roman" w:hAnsi="Calibri" w:cs="Calibri"/>
                <w:szCs w:val="20"/>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347"/>
              <w:gridCol w:w="305"/>
              <w:gridCol w:w="377"/>
              <w:gridCol w:w="403"/>
              <w:gridCol w:w="403"/>
              <w:gridCol w:w="403"/>
              <w:gridCol w:w="377"/>
              <w:gridCol w:w="377"/>
              <w:gridCol w:w="403"/>
              <w:gridCol w:w="349"/>
              <w:gridCol w:w="377"/>
            </w:tblGrid>
            <w:tr w:rsidR="00D423B2" w:rsidRPr="00D423B2" w:rsidTr="00E50B42">
              <w:trPr>
                <w:trHeight w:val="228"/>
              </w:trPr>
              <w:tc>
                <w:tcPr>
                  <w:tcW w:w="1347"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Наименование показателя/годы</w:t>
                  </w:r>
                </w:p>
              </w:tc>
              <w:tc>
                <w:tcPr>
                  <w:tcW w:w="305"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2005</w:t>
                  </w:r>
                </w:p>
              </w:tc>
              <w:tc>
                <w:tcPr>
                  <w:tcW w:w="377"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2006</w:t>
                  </w:r>
                </w:p>
              </w:tc>
              <w:tc>
                <w:tcPr>
                  <w:tcW w:w="403"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2007</w:t>
                  </w:r>
                </w:p>
              </w:tc>
              <w:tc>
                <w:tcPr>
                  <w:tcW w:w="403"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2008</w:t>
                  </w:r>
                </w:p>
              </w:tc>
              <w:tc>
                <w:tcPr>
                  <w:tcW w:w="403"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2009</w:t>
                  </w:r>
                </w:p>
              </w:tc>
              <w:tc>
                <w:tcPr>
                  <w:tcW w:w="377"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2010</w:t>
                  </w:r>
                </w:p>
              </w:tc>
              <w:tc>
                <w:tcPr>
                  <w:tcW w:w="377"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2011</w:t>
                  </w:r>
                </w:p>
              </w:tc>
              <w:tc>
                <w:tcPr>
                  <w:tcW w:w="403"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2012</w:t>
                  </w:r>
                </w:p>
              </w:tc>
              <w:tc>
                <w:tcPr>
                  <w:tcW w:w="349"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2013</w:t>
                  </w:r>
                </w:p>
              </w:tc>
              <w:tc>
                <w:tcPr>
                  <w:tcW w:w="377" w:type="dxa"/>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2014</w:t>
                  </w:r>
                </w:p>
              </w:tc>
            </w:tr>
            <w:tr w:rsidR="00D423B2" w:rsidRPr="00D423B2" w:rsidTr="00E50B42">
              <w:trPr>
                <w:trHeight w:val="228"/>
              </w:trPr>
              <w:tc>
                <w:tcPr>
                  <w:tcW w:w="1347" w:type="dxa"/>
                </w:tcPr>
                <w:p w:rsidR="00A14CD2" w:rsidRPr="00D423B2" w:rsidRDefault="00A14CD2" w:rsidP="00A14CD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lastRenderedPageBreak/>
                    <w:t>1. Добыча нефти, млн тонн</w:t>
                  </w:r>
                </w:p>
              </w:tc>
              <w:tc>
                <w:tcPr>
                  <w:tcW w:w="305"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5,5</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6,0</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6,3</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6,6</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6,8</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6,7</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6,8</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6,9</w:t>
                  </w:r>
                </w:p>
              </w:tc>
              <w:tc>
                <w:tcPr>
                  <w:tcW w:w="349"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6,9</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w:t>
                  </w:r>
                </w:p>
              </w:tc>
            </w:tr>
            <w:tr w:rsidR="00D423B2" w:rsidRPr="00D423B2" w:rsidTr="00E50B42">
              <w:trPr>
                <w:trHeight w:val="835"/>
              </w:trPr>
              <w:tc>
                <w:tcPr>
                  <w:tcW w:w="1347" w:type="dxa"/>
                </w:tcPr>
                <w:p w:rsidR="00A14CD2" w:rsidRPr="00D423B2" w:rsidRDefault="00A14CD2" w:rsidP="00A14CD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 xml:space="preserve">2. Прирост запасов по категории </w:t>
                  </w:r>
                  <w:r w:rsidRPr="00D423B2">
                    <w:rPr>
                      <w:rFonts w:ascii="Times New Roman" w:eastAsia="Times New Roman" w:hAnsi="Times New Roman" w:cs="Times New Roman"/>
                      <w:noProof/>
                      <w:position w:val="-8"/>
                      <w:sz w:val="16"/>
                      <w:szCs w:val="16"/>
                      <w:lang w:eastAsia="ru-RU"/>
                    </w:rPr>
                    <w:drawing>
                      <wp:inline distT="0" distB="0" distL="0" distR="0" wp14:anchorId="5408A876" wp14:editId="6B339606">
                        <wp:extent cx="200025" cy="247650"/>
                        <wp:effectExtent l="0" t="0" r="9525" b="0"/>
                        <wp:docPr id="163" name="Рисунок 163" descr="base_23915_96336_327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8" descr="base_23915_96336_32774"/>
                                <pic:cNvPicPr preferRelativeResize="0">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0025" cy="247650"/>
                                </a:xfrm>
                                <a:prstGeom prst="rect">
                                  <a:avLst/>
                                </a:prstGeom>
                                <a:noFill/>
                                <a:ln>
                                  <a:noFill/>
                                </a:ln>
                              </pic:spPr>
                            </pic:pic>
                          </a:graphicData>
                        </a:graphic>
                      </wp:inline>
                    </w:drawing>
                  </w:r>
                  <w:r w:rsidRPr="00D423B2">
                    <w:rPr>
                      <w:rFonts w:ascii="Times New Roman" w:eastAsia="Times New Roman" w:hAnsi="Times New Roman" w:cs="Times New Roman"/>
                      <w:sz w:val="16"/>
                      <w:szCs w:val="16"/>
                      <w:lang w:eastAsia="ru-RU"/>
                    </w:rPr>
                    <w:t xml:space="preserve"> + </w:t>
                  </w:r>
                  <w:r w:rsidRPr="00D423B2">
                    <w:rPr>
                      <w:rFonts w:ascii="Times New Roman" w:eastAsia="Times New Roman" w:hAnsi="Times New Roman" w:cs="Times New Roman"/>
                      <w:noProof/>
                      <w:position w:val="-8"/>
                      <w:sz w:val="16"/>
                      <w:szCs w:val="16"/>
                      <w:lang w:eastAsia="ru-RU"/>
                    </w:rPr>
                    <w:drawing>
                      <wp:inline distT="0" distB="0" distL="0" distR="0" wp14:anchorId="350F583F" wp14:editId="28B92A4D">
                        <wp:extent cx="219075" cy="247650"/>
                        <wp:effectExtent l="0" t="0" r="9525" b="0"/>
                        <wp:docPr id="162" name="Рисунок 162" descr="base_23915_96336_32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 descr="base_23915_96336_32775"/>
                                <pic:cNvPicPr preferRelativeResize="0">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r w:rsidRPr="00D423B2">
                    <w:rPr>
                      <w:rFonts w:ascii="Times New Roman" w:eastAsia="Times New Roman" w:hAnsi="Times New Roman" w:cs="Times New Roman"/>
                      <w:sz w:val="16"/>
                      <w:szCs w:val="16"/>
                      <w:lang w:eastAsia="ru-RU"/>
                    </w:rPr>
                    <w:t xml:space="preserve"> (с учетом списания запасов), млн тонн, в том числе</w:t>
                  </w:r>
                </w:p>
              </w:tc>
              <w:tc>
                <w:tcPr>
                  <w:tcW w:w="305"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3,1</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11,2</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8,5</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13,9</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21,1</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33,2</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16,2</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18,4</w:t>
                  </w:r>
                </w:p>
              </w:tc>
              <w:tc>
                <w:tcPr>
                  <w:tcW w:w="349"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15,4</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9,9</w:t>
                  </w:r>
                </w:p>
              </w:tc>
            </w:tr>
            <w:tr w:rsidR="00D423B2" w:rsidRPr="00D423B2" w:rsidTr="00E50B42">
              <w:trPr>
                <w:trHeight w:val="228"/>
              </w:trPr>
              <w:tc>
                <w:tcPr>
                  <w:tcW w:w="1347" w:type="dxa"/>
                </w:tcPr>
                <w:p w:rsidR="00A14CD2" w:rsidRPr="00D423B2" w:rsidRDefault="00A14CD2" w:rsidP="00A14CD2">
                  <w:pPr>
                    <w:widowControl w:val="0"/>
                    <w:autoSpaceDE w:val="0"/>
                    <w:autoSpaceDN w:val="0"/>
                    <w:spacing w:after="0" w:line="240" w:lineRule="auto"/>
                    <w:ind w:left="283"/>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 счет текущих ГРР</w:t>
                  </w:r>
                </w:p>
              </w:tc>
              <w:tc>
                <w:tcPr>
                  <w:tcW w:w="305"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4,3</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2,2</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12,2</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6,8</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6,7</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11,9</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16,0</w:t>
                  </w:r>
                </w:p>
              </w:tc>
              <w:tc>
                <w:tcPr>
                  <w:tcW w:w="349"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12,7</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7,8</w:t>
                  </w:r>
                </w:p>
              </w:tc>
            </w:tr>
            <w:tr w:rsidR="00D423B2" w:rsidRPr="00D423B2" w:rsidTr="00E50B42">
              <w:trPr>
                <w:trHeight w:val="329"/>
              </w:trPr>
              <w:tc>
                <w:tcPr>
                  <w:tcW w:w="1347" w:type="dxa"/>
                </w:tcPr>
                <w:p w:rsidR="00A14CD2" w:rsidRPr="00D423B2" w:rsidRDefault="00A14CD2" w:rsidP="00A14CD2">
                  <w:pPr>
                    <w:widowControl w:val="0"/>
                    <w:autoSpaceDE w:val="0"/>
                    <w:autoSpaceDN w:val="0"/>
                    <w:spacing w:after="0" w:line="240" w:lineRule="auto"/>
                    <w:ind w:left="283"/>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 счет изменения КИН и переоценки</w:t>
                  </w:r>
                </w:p>
              </w:tc>
              <w:tc>
                <w:tcPr>
                  <w:tcW w:w="305"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1,4</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6,9</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6,3</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14,3</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26,5</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4,3</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w:t>
                  </w:r>
                </w:p>
              </w:tc>
              <w:tc>
                <w:tcPr>
                  <w:tcW w:w="349"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w:t>
                  </w:r>
                </w:p>
              </w:tc>
            </w:tr>
            <w:tr w:rsidR="00D423B2" w:rsidRPr="00D423B2" w:rsidTr="00E50B42">
              <w:trPr>
                <w:trHeight w:val="342"/>
              </w:trPr>
              <w:tc>
                <w:tcPr>
                  <w:tcW w:w="1347" w:type="dxa"/>
                </w:tcPr>
                <w:p w:rsidR="00A14CD2" w:rsidRPr="00D423B2" w:rsidRDefault="00A14CD2" w:rsidP="00A14CD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Воспроизводство минерально-сырьевой базы, %</w:t>
                  </w:r>
                </w:p>
              </w:tc>
              <w:tc>
                <w:tcPr>
                  <w:tcW w:w="305"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56,4</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186,7</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134,9</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210,6</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310,3</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495,5</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238,2</w:t>
                  </w:r>
                </w:p>
              </w:tc>
              <w:tc>
                <w:tcPr>
                  <w:tcW w:w="403"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266,7</w:t>
                  </w:r>
                </w:p>
              </w:tc>
              <w:tc>
                <w:tcPr>
                  <w:tcW w:w="349"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223,2</w:t>
                  </w:r>
                </w:p>
              </w:tc>
              <w:tc>
                <w:tcPr>
                  <w:tcW w:w="377" w:type="dxa"/>
                  <w:vAlign w:val="center"/>
                </w:tcPr>
                <w:p w:rsidR="00A14CD2" w:rsidRPr="00D423B2" w:rsidRDefault="00A14CD2" w:rsidP="00A14CD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141,4</w:t>
                  </w:r>
                </w:p>
              </w:tc>
            </w:tr>
          </w:tbl>
          <w:p w:rsidR="00A17D8D" w:rsidRPr="00D423B2" w:rsidRDefault="00A17D8D" w:rsidP="005A704B">
            <w:pPr>
              <w:rPr>
                <w:rFonts w:ascii="Times New Roman" w:hAnsi="Times New Roman" w:cs="Times New Roman"/>
                <w:sz w:val="24"/>
                <w:szCs w:val="24"/>
              </w:rPr>
            </w:pPr>
          </w:p>
          <w:p w:rsidR="00D76321" w:rsidRPr="00D423B2" w:rsidRDefault="00D76321" w:rsidP="00D76321">
            <w:pPr>
              <w:widowControl w:val="0"/>
              <w:autoSpaceDE w:val="0"/>
              <w:autoSpaceDN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 xml:space="preserve">3.3. Воспроизводство минерально-сырьевой базы углеводородов </w:t>
            </w:r>
            <w:r w:rsidRPr="00D423B2">
              <w:rPr>
                <w:rFonts w:ascii="Times New Roman" w:hAnsi="Times New Roman" w:cs="Times New Roman"/>
                <w:b/>
                <w:sz w:val="24"/>
                <w:szCs w:val="24"/>
              </w:rPr>
              <w:t>Республики Татарстан</w:t>
            </w:r>
          </w:p>
          <w:p w:rsidR="00D76321" w:rsidRPr="00D423B2" w:rsidRDefault="00D76321" w:rsidP="00D76321">
            <w:pPr>
              <w:pStyle w:val="ConsPlusNormal"/>
              <w:ind w:firstLine="540"/>
              <w:jc w:val="both"/>
              <w:rPr>
                <w:rFonts w:ascii="Times New Roman" w:hAnsi="Times New Roman" w:cs="Times New Roman"/>
                <w:sz w:val="24"/>
                <w:szCs w:val="24"/>
              </w:rPr>
            </w:pP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Возможности прироста запасов за счет традиционных геологоразведочных работ (далее - ГРР) устойчиво сокращаются по мере увеличения разведанности территории. Татарстан является одной из наиболее разведанной в геологическом отношении территорией среди субъектов Российской Федерации. В настоящее время в республике доля прироста запасов за счет ГРР составляет около 40 процентов. К 2030 году значительная доля прироста будет осуществляться за счет запасов СВН и природных битумов пермских отложений, доманиковых отложений, наименее изученных к настоящему времени.</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lastRenderedPageBreak/>
              <w:t>При выборе направлений ГРР, наряду с вопросами эффективности интегрального прироста запасов, необходимо руководствоваться вопросами их качества, а именно - доли запасов, которые можно ввести в активную и рентабельную разработку. Для МНК, учитывая ограниченность перспектив опоискования неразведанных участков на лицензионных территориях, а также запасов и ресурсов категорий С2 + С3, приоритетами ГРР должны стать вопросы:</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повышения КИН;</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переоценки запасов действующих месторождений с уточнением кондиционных значений пород-коллекторов, геолого-гидродинамических моделей;</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внедрения инновационных технологий разведки;</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доразведки эксплуатируемых месторождений.</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таблице 6 приведены требуемые объемы поисково-разведочного бурения, обеспечивающие расширенное воспроизводство запасов. За период 2010 - 2030 годов прирост запасов по Республике Татарстан составит 560,7 млн тонн, суммарный объем добычи нефти - 568,75 млн тонн.</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Стабилизация добычи нефти в Республике Татарстан с небольшими темпами прироста в 2014 - 2030 годах будет обеспечена за счет:</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роста объемов поисково-разведочного бурения;</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увеличения объема бурения скважин с горизонтальными окончаниями по новым технологиям (горизонтальные скважины на девонские отложения, многозабойные скважины на карбонатные коллекторы, боковые </w:t>
            </w:r>
            <w:r w:rsidRPr="00D423B2">
              <w:rPr>
                <w:rFonts w:ascii="Times New Roman" w:hAnsi="Times New Roman" w:cs="Times New Roman"/>
                <w:sz w:val="24"/>
                <w:szCs w:val="24"/>
              </w:rPr>
              <w:lastRenderedPageBreak/>
              <w:t>горизонтальные стволы на разрабатываемых месторождениях, в том числе с включением в конструкцию горизонтальных скважин импортозамещающих водонабухающих пакеров ЗАО "КВАРТ");</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внедрения системных технологий МУН;</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расширения объемов работ по вводу в разработку месторождений (залежей) битуминозных нефтей тепловыми методами;</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ввода в эксплуатацию залежей, участков со слабопроницаемыми коллекторами;</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внедрения новых технологий разработки залежей ВВН и СВН (таблица 7).</w:t>
            </w:r>
          </w:p>
          <w:p w:rsidR="00D76321" w:rsidRPr="00D423B2" w:rsidRDefault="00D76321" w:rsidP="00D7632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Кроме того, значительным резервом расширения внедрения отраслевых инноваций является создание в Республике Татарстан научного полигона по отработке в полевых условиях инновационных технологий более высоких поколений. Работа по организации данного полигона ведется ОАО "Татнефть" совместно с Министерством природных ресурсов и экологии Российской Федерации.</w:t>
            </w:r>
          </w:p>
          <w:p w:rsidR="000F0179" w:rsidRPr="00D423B2" w:rsidRDefault="000F0179" w:rsidP="000F0179">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6</w:t>
            </w:r>
          </w:p>
          <w:p w:rsidR="000F0179" w:rsidRPr="00D423B2" w:rsidRDefault="000F0179" w:rsidP="000F0179">
            <w:pPr>
              <w:pStyle w:val="ConsPlusNormal"/>
              <w:jc w:val="center"/>
              <w:rPr>
                <w:rFonts w:ascii="Times New Roman" w:hAnsi="Times New Roman" w:cs="Times New Roman"/>
                <w:sz w:val="24"/>
                <w:szCs w:val="24"/>
              </w:rPr>
            </w:pPr>
          </w:p>
          <w:p w:rsidR="000F0179" w:rsidRPr="00D423B2" w:rsidRDefault="000F0179" w:rsidP="000F0179">
            <w:pPr>
              <w:pStyle w:val="ConsPlusNormal"/>
              <w:jc w:val="center"/>
              <w:rPr>
                <w:rFonts w:ascii="Times New Roman" w:hAnsi="Times New Roman" w:cs="Times New Roman"/>
                <w:sz w:val="24"/>
                <w:szCs w:val="24"/>
              </w:rPr>
            </w:pPr>
            <w:r w:rsidRPr="00D423B2">
              <w:rPr>
                <w:rFonts w:ascii="Times New Roman" w:hAnsi="Times New Roman" w:cs="Times New Roman"/>
                <w:sz w:val="24"/>
                <w:szCs w:val="24"/>
              </w:rPr>
              <w:t>Объемы прироста запасов, сейсморазведочных работ,</w:t>
            </w:r>
          </w:p>
          <w:p w:rsidR="000F0179" w:rsidRPr="00D423B2" w:rsidRDefault="000F0179" w:rsidP="000F0179">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поисково-разведочного бурения</w:t>
            </w:r>
          </w:p>
          <w:p w:rsidR="000F0179" w:rsidRPr="00D423B2" w:rsidRDefault="000F0179" w:rsidP="00D76321">
            <w:pPr>
              <w:pStyle w:val="ConsPlusNormal"/>
              <w:ind w:firstLine="540"/>
              <w:jc w:val="both"/>
              <w:rPr>
                <w:rFonts w:ascii="Times New Roman" w:hAnsi="Times New Roman" w:cs="Times New Roman"/>
                <w:sz w:val="24"/>
                <w:szCs w:val="24"/>
              </w:rPr>
            </w:pPr>
          </w:p>
          <w:p w:rsidR="000F0179" w:rsidRPr="00D423B2" w:rsidRDefault="000F0179" w:rsidP="000F0179">
            <w:pPr>
              <w:pStyle w:val="ConsPlusNormal"/>
              <w:ind w:firstLine="540"/>
              <w:jc w:val="center"/>
              <w:rPr>
                <w:rFonts w:ascii="Times New Roman" w:hAnsi="Times New Roman" w:cs="Times New Roman"/>
                <w:i/>
                <w:sz w:val="24"/>
                <w:szCs w:val="24"/>
              </w:rPr>
            </w:pPr>
            <w:r w:rsidRPr="00D423B2">
              <w:rPr>
                <w:rFonts w:ascii="Times New Roman" w:hAnsi="Times New Roman" w:cs="Times New Roman"/>
                <w:i/>
                <w:sz w:val="24"/>
                <w:szCs w:val="24"/>
              </w:rPr>
              <w:t>таблица 6 представлена в приложении см. ниже</w:t>
            </w:r>
          </w:p>
          <w:p w:rsidR="000F0179" w:rsidRPr="00D423B2" w:rsidRDefault="000F0179" w:rsidP="000F0179">
            <w:pPr>
              <w:jc w:val="right"/>
              <w:rPr>
                <w:rFonts w:ascii="Times New Roman" w:eastAsia="Times New Roman" w:hAnsi="Times New Roman" w:cs="Times New Roman"/>
                <w:sz w:val="24"/>
                <w:szCs w:val="24"/>
                <w:lang w:eastAsia="ru-RU"/>
              </w:rPr>
            </w:pPr>
          </w:p>
          <w:p w:rsidR="000F0179" w:rsidRPr="00D423B2" w:rsidRDefault="000F0179" w:rsidP="000F0179">
            <w:pPr>
              <w:jc w:val="right"/>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Таблица 7</w:t>
            </w:r>
          </w:p>
          <w:p w:rsidR="000F0179" w:rsidRPr="00D423B2" w:rsidRDefault="000F0179" w:rsidP="000F0179">
            <w:pPr>
              <w:jc w:val="center"/>
              <w:rPr>
                <w:rFonts w:ascii="Times New Roman" w:eastAsia="Times New Roman" w:hAnsi="Times New Roman" w:cs="Times New Roman"/>
                <w:sz w:val="24"/>
                <w:szCs w:val="24"/>
                <w:lang w:eastAsia="ru-RU"/>
              </w:rPr>
            </w:pPr>
          </w:p>
          <w:p w:rsidR="000F0179" w:rsidRPr="00D423B2" w:rsidRDefault="000F0179" w:rsidP="000F0179">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Объем добычи нефти, эксплуатационного бурения и ввода новых</w:t>
            </w:r>
          </w:p>
          <w:p w:rsidR="000F0179" w:rsidRPr="00D423B2" w:rsidRDefault="000F0179" w:rsidP="000F0179">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lastRenderedPageBreak/>
              <w:t>добывающих скважин</w:t>
            </w:r>
          </w:p>
          <w:p w:rsidR="000F0179" w:rsidRPr="00D423B2" w:rsidRDefault="000F0179" w:rsidP="000F0179">
            <w:pPr>
              <w:pStyle w:val="ConsPlusNormal"/>
              <w:ind w:firstLine="540"/>
              <w:jc w:val="center"/>
              <w:rPr>
                <w:rFonts w:ascii="Times New Roman" w:hAnsi="Times New Roman" w:cs="Times New Roman"/>
                <w:sz w:val="24"/>
                <w:szCs w:val="24"/>
              </w:rPr>
            </w:pPr>
          </w:p>
          <w:p w:rsidR="000F0179" w:rsidRPr="00D423B2" w:rsidRDefault="000F0179" w:rsidP="000F0179">
            <w:pPr>
              <w:pStyle w:val="ConsPlusNormal"/>
              <w:ind w:firstLine="540"/>
              <w:jc w:val="center"/>
              <w:rPr>
                <w:rFonts w:ascii="Times New Roman" w:hAnsi="Times New Roman" w:cs="Times New Roman"/>
                <w:i/>
                <w:sz w:val="24"/>
                <w:szCs w:val="24"/>
              </w:rPr>
            </w:pPr>
            <w:r w:rsidRPr="00D423B2">
              <w:rPr>
                <w:rFonts w:ascii="Times New Roman" w:hAnsi="Times New Roman" w:cs="Times New Roman"/>
                <w:i/>
                <w:sz w:val="24"/>
                <w:szCs w:val="24"/>
              </w:rPr>
              <w:t>таблица 7 представлена в приложении см. ниже</w:t>
            </w:r>
          </w:p>
          <w:p w:rsidR="000F0179" w:rsidRPr="00D423B2" w:rsidRDefault="000F0179" w:rsidP="000F0179">
            <w:pPr>
              <w:widowControl w:val="0"/>
              <w:autoSpaceDE w:val="0"/>
              <w:autoSpaceDN w:val="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       </w:t>
            </w:r>
          </w:p>
          <w:p w:rsidR="000F0179" w:rsidRPr="00D423B2" w:rsidRDefault="000F0179" w:rsidP="000F0179">
            <w:pPr>
              <w:widowControl w:val="0"/>
              <w:autoSpaceDE w:val="0"/>
              <w:autoSpaceDN w:val="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            Первоочередные резервы прироста запасов и добычи нефти в Республике Татарстан приведены в </w:t>
            </w:r>
            <w:hyperlink w:anchor="P968" w:history="1">
              <w:r w:rsidRPr="00D423B2">
                <w:rPr>
                  <w:rFonts w:ascii="Times New Roman" w:eastAsia="Times New Roman" w:hAnsi="Times New Roman" w:cs="Times New Roman"/>
                  <w:sz w:val="24"/>
                  <w:szCs w:val="24"/>
                  <w:lang w:eastAsia="ru-RU"/>
                </w:rPr>
                <w:t>таблице 8</w:t>
              </w:r>
            </w:hyperlink>
            <w:r w:rsidRPr="00D423B2">
              <w:rPr>
                <w:rFonts w:ascii="Times New Roman" w:eastAsia="Times New Roman" w:hAnsi="Times New Roman" w:cs="Times New Roman"/>
                <w:sz w:val="24"/>
                <w:szCs w:val="24"/>
                <w:lang w:eastAsia="ru-RU"/>
              </w:rPr>
              <w:t>.</w:t>
            </w:r>
          </w:p>
          <w:p w:rsidR="001825A9" w:rsidRPr="00D423B2" w:rsidRDefault="001825A9" w:rsidP="000F0179">
            <w:pPr>
              <w:widowControl w:val="0"/>
              <w:autoSpaceDE w:val="0"/>
              <w:autoSpaceDN w:val="0"/>
              <w:jc w:val="both"/>
              <w:rPr>
                <w:rFonts w:ascii="Times New Roman" w:eastAsia="Times New Roman" w:hAnsi="Times New Roman" w:cs="Times New Roman"/>
                <w:sz w:val="24"/>
                <w:szCs w:val="24"/>
                <w:lang w:eastAsia="ru-RU"/>
              </w:rPr>
            </w:pPr>
          </w:p>
          <w:p w:rsidR="001825A9" w:rsidRPr="00D423B2" w:rsidRDefault="001825A9" w:rsidP="001825A9">
            <w:pPr>
              <w:pStyle w:val="ConsPlusNormal"/>
              <w:jc w:val="right"/>
              <w:rPr>
                <w:rFonts w:ascii="Times New Roman" w:hAnsi="Times New Roman" w:cs="Times New Roman"/>
                <w:sz w:val="24"/>
                <w:szCs w:val="24"/>
              </w:rPr>
            </w:pPr>
            <w:r w:rsidRPr="00D423B2">
              <w:rPr>
                <w:rFonts w:ascii="Times New Roman" w:hAnsi="Times New Roman" w:cs="Times New Roman"/>
                <w:sz w:val="24"/>
                <w:szCs w:val="24"/>
              </w:rPr>
              <w:t>Таблица 8</w:t>
            </w:r>
          </w:p>
          <w:p w:rsidR="001825A9" w:rsidRPr="00D423B2" w:rsidRDefault="001825A9" w:rsidP="001825A9">
            <w:pPr>
              <w:widowControl w:val="0"/>
              <w:autoSpaceDE w:val="0"/>
              <w:autoSpaceDN w:val="0"/>
              <w:jc w:val="center"/>
              <w:rPr>
                <w:rFonts w:ascii="Times New Roman" w:eastAsia="Times New Roman" w:hAnsi="Times New Roman" w:cs="Times New Roman"/>
                <w:sz w:val="24"/>
                <w:szCs w:val="24"/>
                <w:lang w:eastAsia="ru-RU"/>
              </w:rPr>
            </w:pPr>
          </w:p>
          <w:p w:rsidR="001825A9" w:rsidRPr="00D423B2" w:rsidRDefault="001825A9" w:rsidP="001825A9">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Потенциал увеличения запасов углеводородов и нефтедобычи в Республике Татарстан</w:t>
            </w:r>
          </w:p>
          <w:p w:rsidR="001825A9" w:rsidRPr="00D423B2" w:rsidRDefault="001825A9" w:rsidP="000F0179">
            <w:pPr>
              <w:widowControl w:val="0"/>
              <w:autoSpaceDE w:val="0"/>
              <w:autoSpaceDN w:val="0"/>
              <w:jc w:val="both"/>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362"/>
              <w:gridCol w:w="1730"/>
            </w:tblGrid>
            <w:tr w:rsidR="00D423B2" w:rsidRPr="00D423B2" w:rsidTr="00250968">
              <w:trPr>
                <w:trHeight w:val="201"/>
              </w:trPr>
              <w:tc>
                <w:tcPr>
                  <w:tcW w:w="3362" w:type="dxa"/>
                </w:tcPr>
                <w:p w:rsidR="000D75E5" w:rsidRPr="00D423B2" w:rsidRDefault="000D75E5" w:rsidP="000D75E5">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Мероприятия и ресурсы</w:t>
                  </w:r>
                </w:p>
              </w:tc>
              <w:tc>
                <w:tcPr>
                  <w:tcW w:w="1729" w:type="dxa"/>
                </w:tcPr>
                <w:p w:rsidR="000D75E5" w:rsidRPr="00D423B2" w:rsidRDefault="000D75E5" w:rsidP="000D75E5">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Ожидаемые результаты</w:t>
                  </w:r>
                </w:p>
              </w:tc>
            </w:tr>
            <w:tr w:rsidR="00D423B2" w:rsidRPr="00D423B2" w:rsidTr="00250968">
              <w:trPr>
                <w:trHeight w:val="201"/>
              </w:trPr>
              <w:tc>
                <w:tcPr>
                  <w:tcW w:w="5092" w:type="dxa"/>
                  <w:gridSpan w:val="2"/>
                </w:tcPr>
                <w:p w:rsidR="000D75E5" w:rsidRPr="00D423B2" w:rsidRDefault="000D75E5" w:rsidP="000D75E5">
                  <w:pPr>
                    <w:pStyle w:val="ConsPlusNormal"/>
                    <w:jc w:val="center"/>
                    <w:outlineLvl w:val="4"/>
                    <w:rPr>
                      <w:rFonts w:ascii="Times New Roman" w:hAnsi="Times New Roman" w:cs="Times New Roman"/>
                      <w:sz w:val="18"/>
                      <w:szCs w:val="18"/>
                    </w:rPr>
                  </w:pPr>
                  <w:r w:rsidRPr="00D423B2">
                    <w:rPr>
                      <w:rFonts w:ascii="Times New Roman" w:hAnsi="Times New Roman" w:cs="Times New Roman"/>
                      <w:sz w:val="18"/>
                      <w:szCs w:val="18"/>
                    </w:rPr>
                    <w:t>Традиционные нефтяные объекты</w:t>
                  </w:r>
                </w:p>
              </w:tc>
            </w:tr>
            <w:tr w:rsidR="00D423B2" w:rsidRPr="00D423B2" w:rsidTr="00250968">
              <w:trPr>
                <w:trHeight w:val="212"/>
              </w:trPr>
              <w:tc>
                <w:tcPr>
                  <w:tcW w:w="3362" w:type="dxa"/>
                </w:tcPr>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Инновационное проектирование разработки</w:t>
                  </w:r>
                </w:p>
              </w:tc>
              <w:tc>
                <w:tcPr>
                  <w:tcW w:w="1729" w:type="dxa"/>
                </w:tcPr>
                <w:p w:rsidR="000D75E5" w:rsidRPr="00D423B2" w:rsidRDefault="000D75E5" w:rsidP="000D75E5">
                  <w:pPr>
                    <w:pStyle w:val="ConsPlusNormal"/>
                    <w:rPr>
                      <w:rFonts w:ascii="Times New Roman" w:hAnsi="Times New Roman" w:cs="Times New Roman"/>
                      <w:sz w:val="18"/>
                      <w:szCs w:val="18"/>
                    </w:rPr>
                  </w:pPr>
                </w:p>
              </w:tc>
            </w:tr>
            <w:tr w:rsidR="00D423B2" w:rsidRPr="00D423B2" w:rsidTr="00250968">
              <w:trPr>
                <w:trHeight w:val="2208"/>
              </w:trPr>
              <w:tc>
                <w:tcPr>
                  <w:tcW w:w="3362" w:type="dxa"/>
                </w:tcPr>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По крупнейшим месторождениям, находящимся на поздней стадии разработки:</w:t>
                  </w:r>
                </w:p>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применение новых методов геологических исследований пород и пластовых флюидов, новых методов геофизических и гидродинамических интерпретаций скважин;</w:t>
                  </w:r>
                </w:p>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создание новых геолого-гидродинамических моделей;</w:t>
                  </w:r>
                </w:p>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применение новых систем разработки;</w:t>
                  </w:r>
                </w:p>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внедрение новейших МУН на высокообводненных участках залежи, специальных режимов эксплуатации, автоматизированных систем контроля и учета водопотребления;</w:t>
                  </w:r>
                </w:p>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разработка способов извлечения части остаточных запасов нефти</w:t>
                  </w:r>
                </w:p>
              </w:tc>
              <w:tc>
                <w:tcPr>
                  <w:tcW w:w="1729" w:type="dxa"/>
                </w:tcPr>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Прирост извлекаемых запасов около 1 млрд тонн. Увеличение КИН с 0,4 - 0,5 до 0,6 - 0,7</w:t>
                  </w:r>
                </w:p>
              </w:tc>
            </w:tr>
            <w:tr w:rsidR="00D423B2" w:rsidRPr="00D423B2" w:rsidTr="00250968">
              <w:trPr>
                <w:trHeight w:val="1412"/>
              </w:trPr>
              <w:tc>
                <w:tcPr>
                  <w:tcW w:w="3362" w:type="dxa"/>
                </w:tcPr>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lastRenderedPageBreak/>
                    <w:t>По мелким и средним месторождениям, дающим более 38% добычи Республике Татарстан:</w:t>
                  </w:r>
                </w:p>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разработка залежей в карбонатных коллекторах (балансовые запасы - 2,6 млрд тонн, извлекаемые - 440 млн тонн, КИН - 0,17, от 0,11 до 0,25);</w:t>
                  </w:r>
                </w:p>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разработка залежей нефти повышенной вязкости и высоковязких нефтей (КИН - от 0 до 0,3)</w:t>
                  </w:r>
                </w:p>
              </w:tc>
              <w:tc>
                <w:tcPr>
                  <w:tcW w:w="1729" w:type="dxa"/>
                </w:tcPr>
                <w:p w:rsidR="000D75E5" w:rsidRPr="00D423B2" w:rsidRDefault="000D75E5" w:rsidP="000D75E5">
                  <w:pPr>
                    <w:pStyle w:val="ConsPlusNormal"/>
                    <w:jc w:val="both"/>
                    <w:rPr>
                      <w:rFonts w:ascii="Times New Roman" w:hAnsi="Times New Roman" w:cs="Times New Roman"/>
                      <w:sz w:val="18"/>
                      <w:szCs w:val="18"/>
                    </w:rPr>
                  </w:pPr>
                  <w:r w:rsidRPr="00D423B2">
                    <w:rPr>
                      <w:rFonts w:ascii="Times New Roman" w:hAnsi="Times New Roman" w:cs="Times New Roman"/>
                      <w:sz w:val="18"/>
                      <w:szCs w:val="18"/>
                    </w:rPr>
                    <w:t>Прирост извлекаемых запасов на 400 млн тонн. Увеличение КИН до 0,25 - 0,4</w:t>
                  </w:r>
                </w:p>
              </w:tc>
            </w:tr>
          </w:tbl>
          <w:p w:rsidR="000D75E5" w:rsidRPr="00D423B2" w:rsidRDefault="000D75E5" w:rsidP="000F0179">
            <w:pPr>
              <w:widowControl w:val="0"/>
              <w:autoSpaceDE w:val="0"/>
              <w:autoSpaceDN w:val="0"/>
              <w:jc w:val="both"/>
              <w:rPr>
                <w:rFonts w:ascii="Times New Roman" w:eastAsia="Times New Roman" w:hAnsi="Times New Roman" w:cs="Times New Roman"/>
                <w:sz w:val="24"/>
                <w:szCs w:val="24"/>
                <w:lang w:eastAsia="ru-RU"/>
              </w:rPr>
            </w:pPr>
          </w:p>
          <w:p w:rsidR="00AD25AA" w:rsidRPr="00D423B2" w:rsidRDefault="00AD25AA" w:rsidP="000F0179">
            <w:pPr>
              <w:widowControl w:val="0"/>
              <w:autoSpaceDE w:val="0"/>
              <w:autoSpaceDN w:val="0"/>
              <w:jc w:val="both"/>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3.4.</w:t>
            </w:r>
            <w:r w:rsidRPr="00D423B2">
              <w:rPr>
                <w:rFonts w:ascii="Times New Roman" w:eastAsia="Times New Roman" w:hAnsi="Times New Roman" w:cs="Times New Roman"/>
                <w:b/>
                <w:sz w:val="24"/>
                <w:szCs w:val="24"/>
                <w:lang w:eastAsia="ru-RU"/>
              </w:rPr>
              <w:tab/>
              <w:t>Развитие нефтедобычи в Республике Татарстан</w:t>
            </w:r>
          </w:p>
          <w:p w:rsidR="001825A9" w:rsidRPr="00D423B2" w:rsidRDefault="001825A9" w:rsidP="000F0179">
            <w:pPr>
              <w:widowControl w:val="0"/>
              <w:autoSpaceDE w:val="0"/>
              <w:autoSpaceDN w:val="0"/>
              <w:jc w:val="both"/>
              <w:rPr>
                <w:rFonts w:ascii="Times New Roman" w:eastAsia="Times New Roman" w:hAnsi="Times New Roman" w:cs="Times New Roman"/>
                <w:sz w:val="24"/>
                <w:szCs w:val="24"/>
                <w:lang w:eastAsia="ru-RU"/>
              </w:rPr>
            </w:pPr>
          </w:p>
          <w:p w:rsidR="00884AF9" w:rsidRPr="00D423B2" w:rsidRDefault="00884AF9" w:rsidP="00884AF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Дальнейшее развитие нефтедобычи на месторождениях, находящихся на поздней стадии разработки, связано с решением задач:</w:t>
            </w:r>
          </w:p>
          <w:p w:rsidR="00884AF9" w:rsidRPr="00D423B2" w:rsidRDefault="00884AF9" w:rsidP="00884AF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повышения нефтеизвлечения дренируемых запасов;</w:t>
            </w:r>
          </w:p>
          <w:p w:rsidR="00884AF9" w:rsidRPr="00D423B2" w:rsidRDefault="00884AF9" w:rsidP="00884AF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обеспечения ввода в активную разработку трудноизвлекаемых запасов нефти путем внедрения третичных методов увеличения нефтеотдачи пластов.</w:t>
            </w:r>
          </w:p>
          <w:p w:rsidR="00884AF9" w:rsidRPr="00D423B2" w:rsidRDefault="00884AF9" w:rsidP="00884AF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Широкое применение осваиваемых нефтяными компаниями Татарстана технологий горизонтального бурения (горизонтальные скважины, разветвленные горизонтальные скважины, многозабойные скважины, боковые стволы), одновременно-раздельная эксплуатация скважин и тепловые методы позволяют эффективно наращивать добычу нефти из дренируемых запасов.</w:t>
            </w:r>
          </w:p>
          <w:p w:rsidR="00884AF9" w:rsidRPr="00D423B2" w:rsidRDefault="00884AF9" w:rsidP="00884AF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На малоэффективных месторождениях с трудноизвлекаемыми запасами нефти необходимы совершенно новые подходы к разработке. Главным условием обеспечения их рентабельной разработки является выделение оптимальных </w:t>
            </w:r>
            <w:r w:rsidRPr="00D423B2">
              <w:rPr>
                <w:rFonts w:ascii="Times New Roman" w:eastAsia="Times New Roman" w:hAnsi="Times New Roman" w:cs="Times New Roman"/>
                <w:sz w:val="24"/>
                <w:szCs w:val="24"/>
                <w:lang w:eastAsia="ru-RU"/>
              </w:rPr>
              <w:lastRenderedPageBreak/>
              <w:t>размеров эксплуатационных объектов с близкими коллекторскими свойствами, типом коллекторов и насыщающих их флюидов. В условиях Республики Татарстан наибольшее применение нашли разработанные специалистами Татарстана комплексные технологии повышения эффективности разработки залежей нефти:</w:t>
            </w:r>
          </w:p>
          <w:p w:rsidR="00884AF9" w:rsidRPr="00D423B2" w:rsidRDefault="00884AF9" w:rsidP="00884AF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слабопроницаемых и глинистых терригенных коллекторах;</w:t>
            </w:r>
          </w:p>
          <w:p w:rsidR="00884AF9" w:rsidRPr="00D423B2" w:rsidRDefault="00884AF9" w:rsidP="00884AF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терригенных коллекторах, содержащих ВВН;</w:t>
            </w:r>
          </w:p>
          <w:p w:rsidR="00884AF9" w:rsidRPr="00D423B2" w:rsidRDefault="00884AF9" w:rsidP="00884AF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карбонатных коллекторах.</w:t>
            </w:r>
          </w:p>
          <w:p w:rsidR="001F15DA" w:rsidRPr="00D423B2" w:rsidRDefault="00884AF9" w:rsidP="00A11758">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Планируемые до 2030 года объемы дополнительной добычи нефти за счет МУН и обработки призабойной зоны (далее - ОПЗ) показаны соответственно на рисунке 5.</w:t>
            </w:r>
          </w:p>
          <w:p w:rsidR="001F15DA" w:rsidRPr="00D423B2" w:rsidRDefault="001F15DA" w:rsidP="00A11758">
            <w:pPr>
              <w:widowControl w:val="0"/>
              <w:autoSpaceDE w:val="0"/>
              <w:autoSpaceDN w:val="0"/>
              <w:jc w:val="both"/>
              <w:rPr>
                <w:rFonts w:ascii="Times New Roman" w:eastAsia="Times New Roman" w:hAnsi="Times New Roman" w:cs="Times New Roman"/>
                <w:sz w:val="24"/>
                <w:szCs w:val="24"/>
                <w:lang w:eastAsia="ru-RU"/>
              </w:rPr>
            </w:pPr>
          </w:p>
          <w:p w:rsidR="001F15DA" w:rsidRPr="00D423B2" w:rsidRDefault="001F15DA" w:rsidP="00884AF9">
            <w:pPr>
              <w:widowControl w:val="0"/>
              <w:autoSpaceDE w:val="0"/>
              <w:autoSpaceDN w:val="0"/>
              <w:ind w:firstLine="540"/>
              <w:jc w:val="both"/>
              <w:rPr>
                <w:rFonts w:ascii="Times New Roman" w:eastAsia="Times New Roman" w:hAnsi="Times New Roman" w:cs="Times New Roman"/>
                <w:sz w:val="24"/>
                <w:szCs w:val="24"/>
                <w:lang w:eastAsia="ru-RU"/>
              </w:rPr>
            </w:pPr>
          </w:p>
          <w:p w:rsidR="00884AF9" w:rsidRPr="00D423B2" w:rsidRDefault="00884AF9" w:rsidP="00884AF9">
            <w:pPr>
              <w:widowControl w:val="0"/>
              <w:autoSpaceDE w:val="0"/>
              <w:autoSpaceDN w:val="0"/>
              <w:ind w:firstLine="540"/>
              <w:jc w:val="center"/>
              <w:rPr>
                <w:rFonts w:ascii="Times New Roman" w:eastAsia="Times New Roman" w:hAnsi="Times New Roman" w:cs="Times New Roman"/>
                <w:sz w:val="26"/>
                <w:szCs w:val="26"/>
                <w:lang w:eastAsia="ru-RU"/>
              </w:rPr>
            </w:pPr>
            <w:r w:rsidRPr="00D423B2">
              <w:rPr>
                <w:rFonts w:ascii="Times New Roman" w:eastAsia="Times New Roman" w:hAnsi="Times New Roman" w:cs="Times New Roman"/>
                <w:noProof/>
                <w:sz w:val="26"/>
                <w:szCs w:val="26"/>
                <w:lang w:eastAsia="ru-RU"/>
              </w:rPr>
              <w:drawing>
                <wp:inline distT="0" distB="0" distL="0" distR="0" wp14:anchorId="62989567" wp14:editId="12A86A8F">
                  <wp:extent cx="2253116" cy="1238250"/>
                  <wp:effectExtent l="0" t="0" r="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53116" cy="1238250"/>
                          </a:xfrm>
                          <a:prstGeom prst="rect">
                            <a:avLst/>
                          </a:prstGeom>
                          <a:noFill/>
                        </pic:spPr>
                      </pic:pic>
                    </a:graphicData>
                  </a:graphic>
                </wp:inline>
              </w:drawing>
            </w:r>
          </w:p>
          <w:p w:rsidR="00884AF9" w:rsidRPr="00D423B2" w:rsidRDefault="00884AF9" w:rsidP="000F0179">
            <w:pPr>
              <w:widowControl w:val="0"/>
              <w:autoSpaceDE w:val="0"/>
              <w:autoSpaceDN w:val="0"/>
              <w:jc w:val="both"/>
              <w:rPr>
                <w:rFonts w:ascii="Times New Roman" w:eastAsia="Times New Roman" w:hAnsi="Times New Roman" w:cs="Times New Roman"/>
                <w:sz w:val="24"/>
                <w:szCs w:val="24"/>
                <w:lang w:eastAsia="ru-RU"/>
              </w:rPr>
            </w:pPr>
          </w:p>
          <w:p w:rsidR="00884AF9" w:rsidRPr="00D423B2" w:rsidRDefault="00884AF9" w:rsidP="00884AF9">
            <w:pPr>
              <w:jc w:val="center"/>
              <w:rPr>
                <w:rFonts w:ascii="Times New Roman" w:hAnsi="Times New Roman" w:cs="Times New Roman"/>
                <w:sz w:val="18"/>
                <w:szCs w:val="18"/>
              </w:rPr>
            </w:pPr>
            <w:r w:rsidRPr="00D423B2">
              <w:rPr>
                <w:rFonts w:ascii="Times New Roman" w:hAnsi="Times New Roman" w:cs="Times New Roman"/>
                <w:sz w:val="18"/>
                <w:szCs w:val="18"/>
              </w:rPr>
              <w:t>Рис. 5. Планируемые до 2030 года объемы дополнительной</w:t>
            </w:r>
          </w:p>
          <w:p w:rsidR="00884AF9" w:rsidRPr="00D423B2" w:rsidRDefault="00884AF9" w:rsidP="00884AF9">
            <w:pPr>
              <w:jc w:val="center"/>
              <w:rPr>
                <w:rFonts w:ascii="Times New Roman" w:hAnsi="Times New Roman" w:cs="Times New Roman"/>
                <w:sz w:val="18"/>
                <w:szCs w:val="18"/>
              </w:rPr>
            </w:pPr>
            <w:r w:rsidRPr="00D423B2">
              <w:rPr>
                <w:rFonts w:ascii="Times New Roman" w:hAnsi="Times New Roman" w:cs="Times New Roman"/>
                <w:sz w:val="18"/>
                <w:szCs w:val="18"/>
              </w:rPr>
              <w:t>добычи нефти за счет МУН и ОПЗ</w:t>
            </w:r>
          </w:p>
          <w:p w:rsidR="00884AF9" w:rsidRPr="00D423B2" w:rsidRDefault="00884AF9" w:rsidP="00884AF9">
            <w:pPr>
              <w:jc w:val="center"/>
              <w:rPr>
                <w:rFonts w:ascii="Times New Roman" w:hAnsi="Times New Roman" w:cs="Times New Roman"/>
                <w:sz w:val="18"/>
                <w:szCs w:val="18"/>
              </w:rPr>
            </w:pPr>
          </w:p>
          <w:p w:rsidR="00D76321" w:rsidRPr="00A11758" w:rsidRDefault="00A11758" w:rsidP="00A11758">
            <w:pPr>
              <w:jc w:val="both"/>
              <w:rPr>
                <w:rFonts w:ascii="Times New Roman" w:hAnsi="Times New Roman" w:cs="Times New Roman"/>
                <w:sz w:val="24"/>
                <w:szCs w:val="24"/>
              </w:rPr>
            </w:pPr>
            <w:r>
              <w:rPr>
                <w:rFonts w:ascii="Times New Roman" w:hAnsi="Times New Roman" w:cs="Times New Roman"/>
                <w:sz w:val="24"/>
                <w:szCs w:val="24"/>
              </w:rPr>
              <w:t xml:space="preserve">         </w:t>
            </w:r>
            <w:r w:rsidR="00884AF9" w:rsidRPr="00A11758">
              <w:rPr>
                <w:rFonts w:ascii="Times New Roman" w:hAnsi="Times New Roman" w:cs="Times New Roman"/>
                <w:sz w:val="24"/>
                <w:szCs w:val="24"/>
              </w:rPr>
              <w:t>На рисунке 6 приведены направления обеспечения воспроизводства запасов по МНК до 2030 года.</w:t>
            </w:r>
          </w:p>
          <w:p w:rsidR="00884AF9" w:rsidRPr="00D423B2" w:rsidRDefault="00884AF9" w:rsidP="00884AF9">
            <w:pPr>
              <w:jc w:val="center"/>
              <w:rPr>
                <w:rFonts w:ascii="Times New Roman" w:hAnsi="Times New Roman" w:cs="Times New Roman"/>
                <w:sz w:val="18"/>
                <w:szCs w:val="18"/>
              </w:rPr>
            </w:pPr>
          </w:p>
          <w:p w:rsidR="00884AF9" w:rsidRPr="00D423B2" w:rsidRDefault="00884AF9" w:rsidP="00884AF9">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lastRenderedPageBreak/>
              <w:drawing>
                <wp:inline distT="0" distB="0" distL="0" distR="0" wp14:anchorId="620CB721" wp14:editId="1CDA5C42">
                  <wp:extent cx="2124075" cy="1101006"/>
                  <wp:effectExtent l="0" t="0" r="0" b="444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41391" cy="1109981"/>
                          </a:xfrm>
                          <a:prstGeom prst="rect">
                            <a:avLst/>
                          </a:prstGeom>
                          <a:noFill/>
                        </pic:spPr>
                      </pic:pic>
                    </a:graphicData>
                  </a:graphic>
                </wp:inline>
              </w:drawing>
            </w:r>
          </w:p>
          <w:p w:rsidR="00884AF9" w:rsidRPr="00D423B2" w:rsidRDefault="00884AF9" w:rsidP="00884AF9">
            <w:pPr>
              <w:jc w:val="center"/>
              <w:rPr>
                <w:rFonts w:ascii="Times New Roman" w:hAnsi="Times New Roman" w:cs="Times New Roman"/>
                <w:sz w:val="24"/>
                <w:szCs w:val="24"/>
              </w:rPr>
            </w:pPr>
          </w:p>
          <w:p w:rsidR="00884AF9" w:rsidRPr="00D423B2" w:rsidRDefault="00884AF9" w:rsidP="00884AF9">
            <w:pPr>
              <w:jc w:val="center"/>
              <w:rPr>
                <w:rFonts w:ascii="Times New Roman" w:hAnsi="Times New Roman" w:cs="Times New Roman"/>
                <w:sz w:val="18"/>
                <w:szCs w:val="18"/>
              </w:rPr>
            </w:pPr>
            <w:r w:rsidRPr="00D423B2">
              <w:rPr>
                <w:rFonts w:ascii="Times New Roman" w:hAnsi="Times New Roman" w:cs="Times New Roman"/>
                <w:sz w:val="18"/>
                <w:szCs w:val="18"/>
              </w:rPr>
              <w:t>Рис. 6. Направления обеспечения воспроизводства запасов</w:t>
            </w:r>
          </w:p>
          <w:p w:rsidR="00884AF9" w:rsidRPr="00D423B2" w:rsidRDefault="00884AF9" w:rsidP="00884AF9">
            <w:pPr>
              <w:jc w:val="center"/>
              <w:rPr>
                <w:rFonts w:ascii="Times New Roman" w:hAnsi="Times New Roman" w:cs="Times New Roman"/>
                <w:sz w:val="18"/>
                <w:szCs w:val="18"/>
              </w:rPr>
            </w:pPr>
            <w:r w:rsidRPr="00D423B2">
              <w:rPr>
                <w:rFonts w:ascii="Times New Roman" w:hAnsi="Times New Roman" w:cs="Times New Roman"/>
                <w:sz w:val="18"/>
                <w:szCs w:val="18"/>
              </w:rPr>
              <w:t>по МНК</w:t>
            </w:r>
          </w:p>
          <w:p w:rsidR="00884AF9" w:rsidRPr="00D423B2" w:rsidRDefault="00884AF9" w:rsidP="00884AF9">
            <w:pPr>
              <w:jc w:val="center"/>
              <w:rPr>
                <w:rFonts w:ascii="Times New Roman" w:hAnsi="Times New Roman" w:cs="Times New Roman"/>
                <w:sz w:val="24"/>
                <w:szCs w:val="24"/>
              </w:rPr>
            </w:pPr>
          </w:p>
          <w:p w:rsidR="00884AF9" w:rsidRPr="00D423B2" w:rsidRDefault="00884AF9" w:rsidP="00884AF9">
            <w:pPr>
              <w:jc w:val="both"/>
              <w:rPr>
                <w:rFonts w:ascii="Times New Roman" w:hAnsi="Times New Roman" w:cs="Times New Roman"/>
                <w:sz w:val="24"/>
                <w:szCs w:val="24"/>
              </w:rPr>
            </w:pPr>
            <w:r w:rsidRPr="00D423B2">
              <w:rPr>
                <w:rFonts w:ascii="Times New Roman" w:hAnsi="Times New Roman" w:cs="Times New Roman"/>
                <w:sz w:val="24"/>
                <w:szCs w:val="24"/>
              </w:rPr>
              <w:t xml:space="preserve">          Перспективный объем добычи нефти, по экспертным данным Академии наук Республики Татарстан, в целом по республике, по ОАО "Татнефть" и МНК представлен на рисунке 7.</w:t>
            </w:r>
          </w:p>
          <w:p w:rsidR="00E93B96" w:rsidRPr="00D423B2" w:rsidRDefault="00E93B96" w:rsidP="00884AF9">
            <w:pPr>
              <w:jc w:val="both"/>
              <w:rPr>
                <w:rFonts w:ascii="Times New Roman" w:hAnsi="Times New Roman" w:cs="Times New Roman"/>
                <w:sz w:val="24"/>
                <w:szCs w:val="24"/>
              </w:rPr>
            </w:pPr>
          </w:p>
          <w:p w:rsidR="00E93B96" w:rsidRPr="00D423B2" w:rsidRDefault="00EE270D" w:rsidP="00EE270D">
            <w:pPr>
              <w:jc w:val="center"/>
              <w:rPr>
                <w:rFonts w:ascii="Times New Roman" w:hAnsi="Times New Roman" w:cs="Times New Roman"/>
                <w:sz w:val="24"/>
                <w:szCs w:val="24"/>
              </w:rPr>
            </w:pPr>
            <w:r w:rsidRPr="00D423B2">
              <w:rPr>
                <w:rFonts w:ascii="Times New Roman" w:hAnsi="Times New Roman" w:cs="Times New Roman"/>
                <w:noProof/>
                <w:sz w:val="26"/>
                <w:szCs w:val="26"/>
                <w:lang w:eastAsia="ru-RU"/>
              </w:rPr>
              <w:drawing>
                <wp:inline distT="0" distB="0" distL="0" distR="0" wp14:anchorId="00121FB4" wp14:editId="5256FA0E">
                  <wp:extent cx="1952625" cy="1121481"/>
                  <wp:effectExtent l="0" t="0" r="0" b="25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82633" cy="1138716"/>
                          </a:xfrm>
                          <a:prstGeom prst="rect">
                            <a:avLst/>
                          </a:prstGeom>
                          <a:noFill/>
                        </pic:spPr>
                      </pic:pic>
                    </a:graphicData>
                  </a:graphic>
                </wp:inline>
              </w:drawing>
            </w:r>
          </w:p>
          <w:p w:rsidR="00EE270D" w:rsidRPr="00D423B2" w:rsidRDefault="00EE270D" w:rsidP="00EE270D">
            <w:pPr>
              <w:widowControl w:val="0"/>
              <w:autoSpaceDE w:val="0"/>
              <w:autoSpaceDN w:val="0"/>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Рис. 7. Добыча нефти по Республике Татарстан до 2030 года</w:t>
            </w:r>
          </w:p>
          <w:p w:rsidR="00EE270D" w:rsidRPr="00D423B2" w:rsidRDefault="00EE270D" w:rsidP="00EE270D">
            <w:pPr>
              <w:widowControl w:val="0"/>
              <w:autoSpaceDE w:val="0"/>
              <w:autoSpaceDN w:val="0"/>
              <w:ind w:firstLine="540"/>
              <w:jc w:val="both"/>
              <w:rPr>
                <w:rFonts w:ascii="Times New Roman" w:eastAsia="Times New Roman" w:hAnsi="Times New Roman" w:cs="Times New Roman"/>
                <w:sz w:val="26"/>
                <w:szCs w:val="26"/>
                <w:lang w:eastAsia="ru-RU"/>
              </w:rPr>
            </w:pPr>
          </w:p>
          <w:p w:rsidR="00EE270D" w:rsidRPr="00D423B2" w:rsidRDefault="00EE270D" w:rsidP="00EE270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целях обеспечения устойчивой нефтедобычи, расширенного воспроизводства запасов углеводородного сырья необходимо:</w:t>
            </w:r>
          </w:p>
          <w:p w:rsidR="00EE270D" w:rsidRPr="00D423B2" w:rsidRDefault="00EE270D" w:rsidP="00EE270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провести всем МНК детальный анализ фактического состояния дел с приростом запасов за счет ГРР, повышения КИН, определив реальные приросты за счет ГРР и реальные извлекаемые запасы при выполнении принятых проектных решений по имеющимся методам;</w:t>
            </w:r>
          </w:p>
          <w:p w:rsidR="00EE270D" w:rsidRPr="00D423B2" w:rsidRDefault="00EE270D" w:rsidP="00EE270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провести детальный анализ извлекаемых запасов по месторождениям с дифференциацией их по выделенным группам и категориям;</w:t>
            </w:r>
          </w:p>
          <w:p w:rsidR="00EE270D" w:rsidRPr="00D423B2" w:rsidRDefault="00EE270D" w:rsidP="00EE270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lastRenderedPageBreak/>
              <w:t>уточнить геолого-гидродинамические модели с новым подходом;</w:t>
            </w:r>
          </w:p>
          <w:p w:rsidR="00EE270D" w:rsidRPr="00D423B2" w:rsidRDefault="00EE270D" w:rsidP="00EE270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запроектировать на этой основе новые системы разработки, обеспечивающие как минимум утвержденные значения КИН либо более высокие с учетом новых инновационных подходов. Одновременно необходимо провести работу по объективной оценке дополнительной добычи отдельно за счет МУН и ОПЗ.</w:t>
            </w:r>
          </w:p>
          <w:p w:rsidR="00EE270D" w:rsidRPr="00D423B2" w:rsidRDefault="00EE270D" w:rsidP="00EE270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Для определения адресной стратегии развития все МНК Республики Татарстан можно разделить на три категории (таблица 9):</w:t>
            </w:r>
          </w:p>
          <w:p w:rsidR="00EE270D" w:rsidRPr="00D423B2" w:rsidRDefault="00EE270D" w:rsidP="00EE270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низкие темпы разработки и достаточно высокая степень обеспеченности запасами нефти;</w:t>
            </w:r>
          </w:p>
          <w:p w:rsidR="00EE270D" w:rsidRPr="00D423B2" w:rsidRDefault="00EE270D" w:rsidP="00EE270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сравнительно высокие темпы разработки при низкой обеспеченности запасами нефти;</w:t>
            </w:r>
          </w:p>
          <w:p w:rsidR="00EE270D" w:rsidRPr="00D423B2" w:rsidRDefault="00EE270D" w:rsidP="00EE270D">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крайне низкие темпы разработки при высокой обеспеченности запасами нефти.</w:t>
            </w:r>
          </w:p>
          <w:p w:rsidR="00EE270D" w:rsidRPr="00D423B2" w:rsidRDefault="00EE270D" w:rsidP="00EE270D">
            <w:pPr>
              <w:jc w:val="right"/>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Таблица 9</w:t>
            </w:r>
          </w:p>
          <w:p w:rsidR="00EE270D" w:rsidRPr="00D423B2" w:rsidRDefault="00EE270D" w:rsidP="00EE270D">
            <w:pPr>
              <w:widowControl w:val="0"/>
              <w:autoSpaceDE w:val="0"/>
              <w:autoSpaceDN w:val="0"/>
              <w:jc w:val="both"/>
              <w:rPr>
                <w:rFonts w:ascii="Times New Roman" w:eastAsia="Times New Roman" w:hAnsi="Times New Roman" w:cs="Times New Roman"/>
                <w:b/>
                <w:sz w:val="24"/>
                <w:szCs w:val="24"/>
                <w:lang w:eastAsia="ru-RU"/>
              </w:rPr>
            </w:pPr>
          </w:p>
          <w:p w:rsidR="00EE270D" w:rsidRPr="00D423B2" w:rsidRDefault="00EE270D" w:rsidP="00EE270D">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Характеристика МНК Республики Татарстан в разрезе категорий</w:t>
            </w:r>
          </w:p>
          <w:p w:rsidR="00EE270D" w:rsidRPr="00D423B2" w:rsidRDefault="00EE270D" w:rsidP="00EE270D">
            <w:pPr>
              <w:widowControl w:val="0"/>
              <w:autoSpaceDE w:val="0"/>
              <w:autoSpaceDN w:val="0"/>
              <w:jc w:val="both"/>
              <w:rPr>
                <w:rFonts w:ascii="Times New Roman" w:eastAsia="Times New Roman" w:hAnsi="Times New Roman" w:cs="Times New Roman"/>
                <w:b/>
                <w:sz w:val="24"/>
                <w:szCs w:val="24"/>
                <w:lang w:eastAsia="ru-RU"/>
              </w:rPr>
            </w:pPr>
          </w:p>
          <w:p w:rsidR="00EE270D" w:rsidRPr="00D423B2" w:rsidRDefault="00EE270D" w:rsidP="00EE270D">
            <w:pPr>
              <w:widowControl w:val="0"/>
              <w:autoSpaceDE w:val="0"/>
              <w:autoSpaceDN w:val="0"/>
              <w:jc w:val="center"/>
              <w:rPr>
                <w:rFonts w:ascii="Times New Roman" w:eastAsia="Times New Roman" w:hAnsi="Times New Roman" w:cs="Times New Roman"/>
                <w:i/>
                <w:sz w:val="24"/>
                <w:szCs w:val="24"/>
                <w:lang w:eastAsia="ru-RU"/>
              </w:rPr>
            </w:pPr>
            <w:r w:rsidRPr="00D423B2">
              <w:rPr>
                <w:rFonts w:ascii="Times New Roman" w:eastAsia="Times New Roman" w:hAnsi="Times New Roman" w:cs="Times New Roman"/>
                <w:i/>
                <w:sz w:val="24"/>
                <w:szCs w:val="24"/>
                <w:lang w:eastAsia="ru-RU"/>
              </w:rPr>
              <w:t>таблица 9 представлена в приложении</w:t>
            </w:r>
          </w:p>
          <w:p w:rsidR="00F0286B" w:rsidRPr="00D423B2" w:rsidRDefault="00F0286B" w:rsidP="00EE270D">
            <w:pPr>
              <w:widowControl w:val="0"/>
              <w:autoSpaceDE w:val="0"/>
              <w:autoSpaceDN w:val="0"/>
              <w:jc w:val="center"/>
              <w:rPr>
                <w:rFonts w:ascii="Times New Roman" w:eastAsia="Times New Roman" w:hAnsi="Times New Roman" w:cs="Times New Roman"/>
                <w:sz w:val="24"/>
                <w:szCs w:val="24"/>
                <w:lang w:eastAsia="ru-RU"/>
              </w:rPr>
            </w:pPr>
          </w:p>
          <w:p w:rsidR="00F0286B" w:rsidRPr="00D423B2" w:rsidRDefault="00F0286B" w:rsidP="00F0286B">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Основной задачей первой группы МНК является работа по повышению темпов разработки эксплуатационных объектов до 5 - 6 процентов отбора от начальных извлекаемых запасов в год. Это может быть обеспечено за счет увеличения соотношения количества нагнетательных скважин к добывающим, широкого применения наиболее эффективных МУН и ОПЗ.</w:t>
            </w:r>
          </w:p>
          <w:p w:rsidR="00F0286B" w:rsidRPr="00D423B2" w:rsidRDefault="00F0286B" w:rsidP="00F0286B">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Для второй группы МНК наряду с выполнением запланированных объемов ГРР </w:t>
            </w:r>
            <w:r w:rsidRPr="00D423B2">
              <w:rPr>
                <w:rFonts w:ascii="Times New Roman" w:eastAsia="Times New Roman" w:hAnsi="Times New Roman" w:cs="Times New Roman"/>
                <w:sz w:val="24"/>
                <w:szCs w:val="24"/>
                <w:lang w:eastAsia="ru-RU"/>
              </w:rPr>
              <w:lastRenderedPageBreak/>
              <w:t>актуально применение МУН, наиболее адекватно соответствующих геологическому строению месторождений. В данном случае необходимо проведение анализа эффективности применения МУН в данных геологических условиях - выбор наиболее эффективных из них и составление специальных проектов их внедрения. Все это позволит увеличить извлекаемые запасы нефти. Одновременно необходимо пересмотреть фонд скважин для составления мероприятий по доразведке эксплуатируемых месторождений.</w:t>
            </w:r>
          </w:p>
          <w:p w:rsidR="00F0286B" w:rsidRPr="00D423B2" w:rsidRDefault="00F0286B" w:rsidP="00F0286B">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Третья группа МНК осваивает наиболее сложные месторождения. Здесь необходимо составление двух-трех проектов инновационной разработки с проведением фундаментальных исследований нефтевытеснения на материалах (керн, пластовые флюиды, пробуренные скважины) конкретных проблемных месторождений. По результатам этих работ можно будет сделать вывод о дальнейшей судьбе месторождений данной группы.</w:t>
            </w:r>
          </w:p>
          <w:p w:rsidR="00F0286B" w:rsidRPr="00D423B2" w:rsidRDefault="00F0286B" w:rsidP="00EE270D">
            <w:pPr>
              <w:widowControl w:val="0"/>
              <w:autoSpaceDE w:val="0"/>
              <w:autoSpaceDN w:val="0"/>
              <w:jc w:val="center"/>
              <w:rPr>
                <w:rFonts w:ascii="Times New Roman" w:eastAsia="Times New Roman" w:hAnsi="Times New Roman" w:cs="Times New Roman"/>
                <w:sz w:val="24"/>
                <w:szCs w:val="24"/>
                <w:lang w:eastAsia="ru-RU"/>
              </w:rPr>
            </w:pPr>
          </w:p>
          <w:p w:rsidR="00FC283A" w:rsidRPr="00D423B2" w:rsidRDefault="00FC283A" w:rsidP="00FC283A">
            <w:pPr>
              <w:pStyle w:val="ConsPlusNormal"/>
              <w:jc w:val="both"/>
              <w:rPr>
                <w:rFonts w:ascii="Times New Roman" w:hAnsi="Times New Roman" w:cs="Times New Roman"/>
                <w:sz w:val="24"/>
                <w:szCs w:val="24"/>
              </w:rPr>
            </w:pPr>
            <w:r w:rsidRPr="00D423B2">
              <w:rPr>
                <w:rFonts w:ascii="Times New Roman" w:hAnsi="Times New Roman" w:cs="Times New Roman"/>
                <w:b/>
                <w:sz w:val="24"/>
                <w:szCs w:val="24"/>
              </w:rPr>
              <w:t>3.5. Проблемы и перспективы освоения месторождений нетрадиционных углеводородов Республики Татарстан</w:t>
            </w:r>
          </w:p>
          <w:p w:rsidR="00FC283A" w:rsidRPr="00D423B2" w:rsidRDefault="00FC283A" w:rsidP="00FC283A">
            <w:pPr>
              <w:pStyle w:val="ConsPlusNormal"/>
              <w:ind w:firstLine="540"/>
              <w:jc w:val="both"/>
              <w:rPr>
                <w:rFonts w:ascii="Times New Roman" w:hAnsi="Times New Roman" w:cs="Times New Roman"/>
                <w:sz w:val="24"/>
                <w:szCs w:val="24"/>
              </w:rPr>
            </w:pPr>
          </w:p>
          <w:p w:rsidR="00A257E3" w:rsidRPr="00D423B2" w:rsidRDefault="00FC283A" w:rsidP="001F15DA">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К категории нетрадиционных углеводородов относятся тяжелая нефть, природные битумы, битумоносные пески, нефтеносные сланцы. Кроме того, к этой категории относятся нетрадиционные ресурсы газа: угольные месторождения, водорастворенные газы, газы сланцевых и плотных формаций (рис. 8). Мировые ресурсы нетрадиционных нефтей оцениваются в 1,3 - 1,4 трлн тонн. Из них при существующих технологиях </w:t>
            </w:r>
            <w:r w:rsidRPr="00D423B2">
              <w:rPr>
                <w:rFonts w:ascii="Times New Roman" w:hAnsi="Times New Roman" w:cs="Times New Roman"/>
                <w:sz w:val="24"/>
                <w:szCs w:val="24"/>
              </w:rPr>
              <w:lastRenderedPageBreak/>
              <w:t>добычи может быть рентабельно извлечено до 171,5 млрд тонн углеводородов.</w:t>
            </w:r>
          </w:p>
          <w:p w:rsidR="00FC283A" w:rsidRPr="00D423B2" w:rsidRDefault="00FC283A" w:rsidP="00A257E3">
            <w:pPr>
              <w:pStyle w:val="ConsPlusNormal"/>
              <w:jc w:val="both"/>
              <w:rPr>
                <w:rFonts w:ascii="Times New Roman" w:hAnsi="Times New Roman" w:cs="Times New Roman"/>
                <w:sz w:val="24"/>
                <w:szCs w:val="24"/>
              </w:rPr>
            </w:pPr>
          </w:p>
          <w:p w:rsidR="00D76321" w:rsidRPr="00D423B2" w:rsidRDefault="00A257E3" w:rsidP="00A257E3">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6DC3D7BB" wp14:editId="0D3816F3">
                  <wp:extent cx="1638300" cy="1058386"/>
                  <wp:effectExtent l="0" t="0" r="0"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1554" cy="1060488"/>
                          </a:xfrm>
                          <a:prstGeom prst="rect">
                            <a:avLst/>
                          </a:prstGeom>
                          <a:noFill/>
                        </pic:spPr>
                      </pic:pic>
                    </a:graphicData>
                  </a:graphic>
                </wp:inline>
              </w:drawing>
            </w:r>
          </w:p>
          <w:p w:rsidR="000032CF" w:rsidRPr="00D423B2" w:rsidRDefault="000032CF" w:rsidP="000032CF">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Рис. 8. Геологические ресурсы, млрд тонн условного топлива</w:t>
            </w:r>
          </w:p>
          <w:p w:rsidR="000032CF" w:rsidRPr="00D423B2" w:rsidRDefault="000032CF" w:rsidP="000032CF">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(по Белонину М.Д.)</w:t>
            </w:r>
          </w:p>
          <w:p w:rsidR="00A257E3" w:rsidRPr="00D423B2" w:rsidRDefault="00A257E3" w:rsidP="00A257E3">
            <w:pPr>
              <w:jc w:val="center"/>
              <w:rPr>
                <w:rFonts w:ascii="Times New Roman" w:hAnsi="Times New Roman" w:cs="Times New Roman"/>
                <w:sz w:val="18"/>
                <w:szCs w:val="18"/>
              </w:rPr>
            </w:pPr>
          </w:p>
          <w:p w:rsidR="004D1BAD" w:rsidRPr="00D423B2" w:rsidRDefault="004D1BAD" w:rsidP="00EE0AD2">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3.5.1. Сверхвязкие нефти и природные битумы пермского комплекса отложений Республики Татарстан</w:t>
            </w:r>
          </w:p>
          <w:p w:rsidR="00EE0AD2" w:rsidRPr="00D423B2" w:rsidRDefault="00EE0AD2" w:rsidP="00EE0AD2">
            <w:pPr>
              <w:pStyle w:val="ConsPlusNormal"/>
              <w:ind w:firstLine="540"/>
              <w:jc w:val="both"/>
              <w:rPr>
                <w:rFonts w:ascii="Times New Roman" w:hAnsi="Times New Roman" w:cs="Times New Roman"/>
                <w:sz w:val="24"/>
                <w:szCs w:val="24"/>
              </w:rPr>
            </w:pP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Битумы пермских отложений Татарстана представляют собой окисленные высоковязкие нефти жидкой, полужидкой и твердой консистенции (вязкость от 600 до 1 млн спз), с высоким содержанием серы (3,7 - 7,0 процента), с содержанием масел от 5,8 до 88,0 процентов, смол - от 8,7 до 57,0 процентов, асфальтенов - от 3,3 до 61,0 процента.</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Анализ результатов разведочных работ и лабораторных исследований керна подтвердил сходство строения залежей битумов с нефтяными залежами. Битумсодержащие отложения представляют собой скопления с содержанием битумов от 1 до 20 процентов к весу породы (40 - 98 процентов к объему пор), с определенными границами, за которыми битумонасыщенность снижается до одного процента и ниже.</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Опираясь на принятую мировую классификацию углеводородов, в целях определения потенциала применения </w:t>
            </w:r>
            <w:r w:rsidRPr="00D423B2">
              <w:rPr>
                <w:rFonts w:ascii="Times New Roman" w:hAnsi="Times New Roman" w:cs="Times New Roman"/>
                <w:sz w:val="24"/>
                <w:szCs w:val="24"/>
              </w:rPr>
              <w:lastRenderedPageBreak/>
              <w:t>современных методов увеличения нефтеотдачи залежи углеводородов можно разделить на:</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содержащие маловязкие (легкие) нефти, вязкостью до 10 мПа с;</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повышенной вязкости, вязкостью до 200 мПа с;</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высоковязкие, вязкостью от 200 до 1 000 мПа с;</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сверхвязкие, тяжелые нефти, вязкостью от 1000 до 10 000 мПа с;</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природные битумы (далее - ПБ), вязкостью более 10000 мПа с.</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Исходя из этой классификации углеводороды пермского осадочного комплекса Республики Татарстан относятся к СВН и ПБ.</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Ресурсы углеводородного сырья в пермских отложениях Республики Татарстан оценивались различными авторами в течение более 30 лет во второй половине прошлого столетия. Эти оценки колебались от 4 до 21 млрд тонн и даже с учетом северных районов республики (почти до 40 млрд тонн). Наиболее вероятный объем ресурсов составляет 7 - 8,7 млрд тонн, в том числе приоритетные для освоения ресурсы - 1,5 - 2 млрд тонн, принятые геологической службой объединения "Татнефть" в 1974 году. С 1978 года полигоном для отработки скважинных технологий добычи ПБ стали два месторождения: Мордово-Кармальское и Ашальчинское. За прошедшие годы на данных месторождениях были разработаны и прошли апробацию технологии:</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отбора керна в рыхлых битумоносных песчаниках специально созданным керноотборником;</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опробования битумных скважин;</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lastRenderedPageBreak/>
              <w:t>инициирования внутрипластового горения с применением термогазового генератора, высокочастотного электромагнитного поля, пара, электронагревательной установки УЭСК-100;</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термоциклического воздействия на битумонасыщенный пласт воздухом, паром и парогазом;</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площадной закачки воздуха, пара и парогаза;</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изменения фильтрационных потоков;</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извлечения ПБ методом низкотемпературного окисления.</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Кроме того, были отработаны методика поиска и разведки месторождений пермских тяжелых нефтей, оконтуривания залежей вязкой нефти и ВВН, технологии изучения добывных возможностей пластов в различных структурно-геологических условиях локального поднятия.</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Проведенные исследования и опытно-промышленные работы по разработке скважинных методов извлечения битумов показали перспективность разработки залежей ПБ с применением тепловых методов (внутрипластовое горение, вытеснение паром, парогаз, волновые МУН, сочетание горизонтального бурения с парогравитацией). На опытном участке Мордово-Кармальского месторождения при разработке скважинными методами с применением внутрипластового горения получена высокая нефтеотдача - около 35 процентов.</w:t>
            </w:r>
          </w:p>
          <w:p w:rsidR="004D1BAD" w:rsidRPr="00D423B2" w:rsidRDefault="004D1BAD" w:rsidP="004D1BA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 xml:space="preserve">В дальнейшем в ОАО "Татнефть" на основе принципов технологии SAGD (метод парогравитационного дренажа) создан комплекс собственных технологий разработки месторождений СВН, который был отмечен </w:t>
            </w:r>
            <w:r w:rsidRPr="00D423B2">
              <w:rPr>
                <w:rFonts w:ascii="Times New Roman" w:hAnsi="Times New Roman" w:cs="Times New Roman"/>
                <w:sz w:val="24"/>
                <w:szCs w:val="24"/>
              </w:rPr>
              <w:lastRenderedPageBreak/>
              <w:t>премией Правительства Российской Федерации в области науки и техники 2012 года. Прогнозные уровни добычи СВН на Ашальчинском месторождении с применением отработанных к настоящему времени технологий при текущем состоянии геологической изученности приведены на рисунке 9.</w:t>
            </w:r>
          </w:p>
          <w:p w:rsidR="000032CF" w:rsidRPr="00D423B2" w:rsidRDefault="000032CF" w:rsidP="00A257E3">
            <w:pPr>
              <w:jc w:val="center"/>
              <w:rPr>
                <w:rFonts w:ascii="Times New Roman" w:hAnsi="Times New Roman" w:cs="Times New Roman"/>
                <w:sz w:val="24"/>
                <w:szCs w:val="24"/>
              </w:rPr>
            </w:pPr>
          </w:p>
          <w:p w:rsidR="004E4B46" w:rsidRPr="00D423B2" w:rsidRDefault="004E4B46" w:rsidP="00A257E3">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3BD51F0D" wp14:editId="7A150717">
                  <wp:extent cx="1971040" cy="1085733"/>
                  <wp:effectExtent l="0" t="0" r="0"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02968" cy="1103320"/>
                          </a:xfrm>
                          <a:prstGeom prst="rect">
                            <a:avLst/>
                          </a:prstGeom>
                          <a:noFill/>
                        </pic:spPr>
                      </pic:pic>
                    </a:graphicData>
                  </a:graphic>
                </wp:inline>
              </w:drawing>
            </w:r>
          </w:p>
          <w:p w:rsidR="004E4B46" w:rsidRPr="00D423B2" w:rsidRDefault="004E4B46" w:rsidP="00A257E3">
            <w:pPr>
              <w:jc w:val="center"/>
              <w:rPr>
                <w:rFonts w:ascii="Times New Roman" w:hAnsi="Times New Roman" w:cs="Times New Roman"/>
                <w:sz w:val="24"/>
                <w:szCs w:val="24"/>
              </w:rPr>
            </w:pPr>
          </w:p>
          <w:p w:rsidR="00AF5B5F" w:rsidRPr="00D423B2" w:rsidRDefault="00AF5B5F" w:rsidP="00AF5B5F">
            <w:pPr>
              <w:jc w:val="center"/>
              <w:rPr>
                <w:rFonts w:ascii="Times New Roman" w:hAnsi="Times New Roman" w:cs="Times New Roman"/>
                <w:sz w:val="18"/>
                <w:szCs w:val="18"/>
              </w:rPr>
            </w:pPr>
            <w:r w:rsidRPr="00D423B2">
              <w:rPr>
                <w:rFonts w:ascii="Times New Roman" w:hAnsi="Times New Roman" w:cs="Times New Roman"/>
                <w:sz w:val="18"/>
                <w:szCs w:val="18"/>
              </w:rPr>
              <w:t>Рис. 9. Прогнозный вариант развития проекта освоения</w:t>
            </w:r>
          </w:p>
          <w:p w:rsidR="004E4B46" w:rsidRPr="00D423B2" w:rsidRDefault="00AF5B5F" w:rsidP="00AF5B5F">
            <w:pPr>
              <w:jc w:val="center"/>
              <w:rPr>
                <w:rFonts w:ascii="Times New Roman" w:hAnsi="Times New Roman" w:cs="Times New Roman"/>
                <w:sz w:val="18"/>
                <w:szCs w:val="18"/>
              </w:rPr>
            </w:pPr>
            <w:r w:rsidRPr="00D423B2">
              <w:rPr>
                <w:rFonts w:ascii="Times New Roman" w:hAnsi="Times New Roman" w:cs="Times New Roman"/>
                <w:sz w:val="18"/>
                <w:szCs w:val="18"/>
              </w:rPr>
              <w:t>залежей СВН ОАО "Татнефть" на Ашальчинском месторождении</w:t>
            </w:r>
          </w:p>
          <w:p w:rsidR="006D5286" w:rsidRPr="00D423B2" w:rsidRDefault="006D5286" w:rsidP="00AF5B5F">
            <w:pPr>
              <w:jc w:val="center"/>
              <w:rPr>
                <w:rFonts w:ascii="Times New Roman" w:hAnsi="Times New Roman" w:cs="Times New Roman"/>
                <w:sz w:val="18"/>
                <w:szCs w:val="18"/>
              </w:rPr>
            </w:pPr>
          </w:p>
          <w:p w:rsidR="00A43ED7" w:rsidRPr="00D423B2" w:rsidRDefault="00A43ED7" w:rsidP="00A43ED7">
            <w:pPr>
              <w:pStyle w:val="ConsPlusNormal"/>
              <w:ind w:firstLine="540"/>
              <w:jc w:val="both"/>
              <w:rPr>
                <w:rFonts w:ascii="Times New Roman" w:hAnsi="Times New Roman" w:cs="Times New Roman"/>
                <w:sz w:val="24"/>
                <w:szCs w:val="24"/>
              </w:rPr>
            </w:pPr>
            <w:r w:rsidRPr="00D423B2">
              <w:rPr>
                <w:rFonts w:ascii="Times New Roman" w:hAnsi="Times New Roman" w:cs="Times New Roman"/>
                <w:b/>
                <w:sz w:val="24"/>
                <w:szCs w:val="24"/>
              </w:rPr>
              <w:t>3.5.2. Нетрадиционные углеводороды, в том числе из сланцевых отложений</w:t>
            </w:r>
          </w:p>
          <w:p w:rsidR="00A43ED7" w:rsidRPr="00D423B2" w:rsidRDefault="00A43ED7" w:rsidP="00A43ED7">
            <w:pPr>
              <w:pStyle w:val="ConsPlusNormal"/>
              <w:ind w:firstLine="540"/>
              <w:jc w:val="both"/>
              <w:rPr>
                <w:rFonts w:ascii="Times New Roman" w:hAnsi="Times New Roman" w:cs="Times New Roman"/>
                <w:sz w:val="24"/>
                <w:szCs w:val="24"/>
              </w:rPr>
            </w:pPr>
          </w:p>
          <w:p w:rsidR="00A43ED7" w:rsidRPr="00D423B2" w:rsidRDefault="00A43ED7" w:rsidP="00A43ED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За последнее десятилетие мировой рынок энергоносителей существенно изменился благодаря вводу в эксплуатацию месторождений нетрадиционных углеводородов, прежде всего, углеводородов из сланцевых отложений. В отличие от традиционных углеводородов они сосредоточены в сложных для освоения скоплениях либо рассеяны в непродуктивной среде. Данные углеводороды плохо подвижны или неподвижны в пластовых условиях недр, в связи с чем нуждаются в специальных способах извлечения из недр, что повышает их себестоимость.</w:t>
            </w:r>
          </w:p>
          <w:p w:rsidR="00A43ED7" w:rsidRPr="00D423B2" w:rsidRDefault="00A43ED7" w:rsidP="00A43ED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 оценке зарубежных экспертов, в 2008 году извлекаемые ресурсы сланцевой нефти на планете определены в 820,0 млрд тонн. По данным Международного энергетического агентства, извлекаемые запасы сланцевой нефти только по 33 странам на открытых 600 месторождениях на 1 января 2013 года оцениваются в пределах 450 млрд тонн.</w:t>
            </w:r>
          </w:p>
          <w:p w:rsidR="00A43ED7" w:rsidRPr="00D423B2" w:rsidRDefault="00A43ED7" w:rsidP="00A43ED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Учитывая, что запасы сланцевой нефти значительно превышают объем традиционных запасов, в настоящее время все вертикально-интегрированные нефтяные компании России ведут научно-исследовательские и опытно- промышленные работы по выработке методики разработки месторождений сланцевой нефти.</w:t>
            </w:r>
          </w:p>
          <w:p w:rsidR="00A43ED7" w:rsidRPr="00D423B2" w:rsidRDefault="00A43ED7" w:rsidP="00A43ED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 территории Татарстана перспективы развития нефтесланцевых полей связаны, в первую очередь, с породами доманикоидной формации верхнего девона - с семилукским (доманиковым) горизонтом, а также с речицким (мендымским) горизонтом и доманикоидными формациями центральной и бортовой зон Камско-Кинельской системы прогибов. В частности, нефтеносность семилукского и речицкого горизонтов установлена на ряде площадей Ромашкинского месторождения, в пределах Ерсубайкинского, Березовского и других месторождений. Научно-исследовательские работы по оценке нефтеперспективности сланцевых отложений на территории Республики Татарстан ведутся Академией наук Республики Татарстан.</w:t>
            </w:r>
          </w:p>
          <w:p w:rsidR="00A43ED7" w:rsidRPr="00D423B2" w:rsidRDefault="00A43ED7" w:rsidP="00A43ED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ОАО "Татнефть" реализуются ежегодные программы по изучению месторождений нетрадиционных углеводородов. В рамках этих программ выполнен гидроразрыв пласта по одному из сланцевых отложений на Бавлинском месторождении, достигнут дебит 8 тонн в сутки. На баланс компании в 2014 году поставлены 26 млн тонн запасов промышленных категорий из доманиковых отложений Бавлинского месторождения.</w:t>
            </w:r>
          </w:p>
          <w:p w:rsidR="006D5286" w:rsidRPr="00D423B2" w:rsidRDefault="00A43ED7" w:rsidP="00A43ED7">
            <w:pPr>
              <w:jc w:val="both"/>
              <w:rPr>
                <w:rFonts w:ascii="Times New Roman" w:hAnsi="Times New Roman" w:cs="Times New Roman"/>
                <w:sz w:val="24"/>
                <w:szCs w:val="24"/>
              </w:rPr>
            </w:pPr>
            <w:r w:rsidRPr="00D423B2">
              <w:rPr>
                <w:rFonts w:ascii="Times New Roman" w:hAnsi="Times New Roman" w:cs="Times New Roman"/>
                <w:sz w:val="24"/>
                <w:szCs w:val="24"/>
              </w:rPr>
              <w:t xml:space="preserve">         В качестве других возможных источников углеводородов на уровне гипотезы отраслевой научной общественностью обсуждается теория пополнения нефтяных месторождений углеводородами из глубин Земли, из кристаллического фундамента через флюидопроводящие каналы, а также возможность подземной газификации углей из отложений нижнего карбона с дальнейшим использованием дополнительно выделяемого тепла для термической добычи ВВН.</w:t>
            </w:r>
          </w:p>
          <w:p w:rsidR="00321329" w:rsidRPr="00D423B2" w:rsidRDefault="00321329" w:rsidP="00A43ED7">
            <w:pPr>
              <w:jc w:val="both"/>
              <w:rPr>
                <w:rFonts w:ascii="Times New Roman" w:hAnsi="Times New Roman" w:cs="Times New Roman"/>
                <w:sz w:val="24"/>
                <w:szCs w:val="24"/>
              </w:rPr>
            </w:pPr>
          </w:p>
          <w:p w:rsidR="00321329" w:rsidRPr="00D423B2" w:rsidRDefault="00321329" w:rsidP="00321329">
            <w:pPr>
              <w:pStyle w:val="ConsPlusNormal"/>
              <w:jc w:val="center"/>
              <w:rPr>
                <w:rFonts w:ascii="Times New Roman" w:hAnsi="Times New Roman" w:cs="Times New Roman"/>
                <w:sz w:val="24"/>
                <w:szCs w:val="24"/>
              </w:rPr>
            </w:pPr>
            <w:r w:rsidRPr="00D423B2">
              <w:rPr>
                <w:rFonts w:ascii="Times New Roman" w:hAnsi="Times New Roman" w:cs="Times New Roman"/>
                <w:b/>
                <w:sz w:val="24"/>
                <w:szCs w:val="24"/>
              </w:rPr>
              <w:t>3.6. Нефтеперерабатывающая промышленность</w:t>
            </w:r>
          </w:p>
          <w:p w:rsidR="00321329" w:rsidRPr="00D423B2" w:rsidRDefault="00321329" w:rsidP="00321329">
            <w:pPr>
              <w:pStyle w:val="ConsPlusNormal"/>
              <w:ind w:firstLine="540"/>
              <w:jc w:val="both"/>
              <w:rPr>
                <w:rFonts w:ascii="Times New Roman" w:hAnsi="Times New Roman" w:cs="Times New Roman"/>
                <w:sz w:val="24"/>
                <w:szCs w:val="24"/>
              </w:rPr>
            </w:pP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Нефтеперерабатывающая промышленность является относительно молодой отраслью Республики Татарстан. Ее формирование проходило в рамках реализации программных документов, принимаемых на уровне Правительства Республики Татарстан начиная с 1999 года.</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на долю Татарстана приходится около 6 процентов объема добычи нефти в Российской Федерации, а с вводом в эксплуатацию в 2012 году комплекса нефтеперерабатывающих и нефтехимических заводов ОАО "ТАНЕКО" (далее - Комплекс "ТАНЕКО") - более 6 процентов всего объема российской нефтепереработки. Отрасль формирует около 17 процентов общереспубликанского объема промышленного производства и 14 процентов объема сальдированной прибыли.</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Нефтеперерабатывающая промышленность Республики Татарстан представлена нефтеперерабатывающим комплексом ОАО "ТАИФ-НК" и Комплексом "ТАНЕКО", входящим в состав ОАО "Татнефть".</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ОАО "ТАИФ-НК", объединяющее Нефтеперерабатывающий завод, Завод бензинов и производство по переработке газового конденсата, ежегодно перерабатывает более 8,4 млн тонн углеводородного сырья. Среди нефтеперерабатывающих заводов (далее - НПЗ) Российской Федерации ОАО "ТАИФ-НК" занимает седьмое место по глубине переработки с показателем 75,6 процента, значительно превышающим среднеотраслевой уровень 2014 года - 72,4 процента.</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Строительство Комплекса "ТАНЕКО" было начато в 2005 году ОАО "Татнефть" в целях организации собственной переработки добываемой нефти. Проект реализуется поэтапно, в условиях совмещенного проектирования, поставок оборудования, строительства с опережающим вводом в эксплуатацию производственных мощностей.</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Действующие производственные мощности Комплекса "ТАНЕКО" представлены производствами:</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первичной переработки нефти;</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гидрокрекинга и базовых масел;</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серы;</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инфраструктурного обеспечения.</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Среднегодовой показатель глубины переработки нефти составил 73,54 процента. Производство выведено на уровень нагрузки 115 процентов от проектной (7 млн тонн в год) мощности.</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НПЗ Республики Татарстан продолжают работу по дальнейшему развитию мощностей, что в перспективе позволит полностью удовлетворить потребности республики в качественном моторном топливе, улучшить сырьевое обеспечение нефтехимических производств, а также в значительной степени нарастить экспортные поставки нефтепродуктов.</w:t>
            </w:r>
          </w:p>
          <w:p w:rsidR="00321329" w:rsidRPr="00D423B2" w:rsidRDefault="00321329" w:rsidP="0032132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 2005 по 2014 год в Республике Татарстан значительно сократилась доля экспорта нефти в объеме нефтедобычи - с 62,0 до 32,6 процента. Объем первичной переработки нефти на НПЗ ОАО "ТАИФ-НК", Комплексе "ТАНЕКО" вырос с 6,8 млн тонн в 2005 году до 17,1 млн тонн в 2014 году.</w:t>
            </w:r>
          </w:p>
          <w:p w:rsidR="00321329" w:rsidRPr="00D423B2" w:rsidRDefault="00321329" w:rsidP="00321329">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10</w:t>
            </w:r>
          </w:p>
          <w:p w:rsidR="00321329" w:rsidRPr="00D423B2" w:rsidRDefault="00321329" w:rsidP="00321329">
            <w:pPr>
              <w:pStyle w:val="ConsPlusTitle"/>
              <w:jc w:val="center"/>
              <w:rPr>
                <w:rFonts w:ascii="Times New Roman" w:hAnsi="Times New Roman" w:cs="Times New Roman"/>
                <w:b w:val="0"/>
                <w:sz w:val="24"/>
                <w:szCs w:val="24"/>
              </w:rPr>
            </w:pPr>
          </w:p>
          <w:p w:rsidR="00321329" w:rsidRPr="00D423B2" w:rsidRDefault="00321329" w:rsidP="00321329">
            <w:pPr>
              <w:pStyle w:val="ConsPlusTitle"/>
              <w:jc w:val="center"/>
              <w:rPr>
                <w:rFonts w:ascii="Times New Roman" w:hAnsi="Times New Roman" w:cs="Times New Roman"/>
                <w:b w:val="0"/>
                <w:sz w:val="24"/>
                <w:szCs w:val="24"/>
              </w:rPr>
            </w:pPr>
            <w:r w:rsidRPr="00D423B2">
              <w:rPr>
                <w:rFonts w:ascii="Times New Roman" w:hAnsi="Times New Roman" w:cs="Times New Roman"/>
                <w:b w:val="0"/>
                <w:sz w:val="24"/>
                <w:szCs w:val="24"/>
              </w:rPr>
              <w:t>Динамика добычи и переработки нефти в Республике Татарстан</w:t>
            </w:r>
          </w:p>
          <w:p w:rsidR="00321329" w:rsidRPr="00D423B2" w:rsidRDefault="00321329" w:rsidP="00A43ED7">
            <w:pPr>
              <w:jc w:val="both"/>
              <w:rPr>
                <w:rFonts w:ascii="Times New Roman" w:hAnsi="Times New Roman" w:cs="Times New Roman"/>
                <w:sz w:val="24"/>
                <w:szCs w:val="24"/>
              </w:rPr>
            </w:pPr>
          </w:p>
          <w:p w:rsidR="001666FB" w:rsidRPr="00D423B2" w:rsidRDefault="001666FB" w:rsidP="00A17D8D">
            <w:pPr>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2"/>
              <w:gridCol w:w="487"/>
              <w:gridCol w:w="443"/>
              <w:gridCol w:w="353"/>
              <w:gridCol w:w="443"/>
              <w:gridCol w:w="442"/>
              <w:gridCol w:w="443"/>
              <w:gridCol w:w="443"/>
              <w:gridCol w:w="448"/>
              <w:gridCol w:w="376"/>
              <w:gridCol w:w="500"/>
            </w:tblGrid>
            <w:tr w:rsidR="00D423B2" w:rsidRPr="00D423B2" w:rsidTr="00BB3FA6">
              <w:trPr>
                <w:trHeight w:val="798"/>
              </w:trPr>
              <w:tc>
                <w:tcPr>
                  <w:tcW w:w="682"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Наименование показателя/годы</w:t>
                  </w:r>
                </w:p>
              </w:tc>
              <w:tc>
                <w:tcPr>
                  <w:tcW w:w="487"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2005</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2006</w:t>
                  </w:r>
                </w:p>
              </w:tc>
              <w:tc>
                <w:tcPr>
                  <w:tcW w:w="35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2007</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2008</w:t>
                  </w:r>
                </w:p>
              </w:tc>
              <w:tc>
                <w:tcPr>
                  <w:tcW w:w="442"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2009</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2010</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2011</w:t>
                  </w:r>
                </w:p>
              </w:tc>
              <w:tc>
                <w:tcPr>
                  <w:tcW w:w="448"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2012</w:t>
                  </w:r>
                </w:p>
              </w:tc>
              <w:tc>
                <w:tcPr>
                  <w:tcW w:w="376"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2013</w:t>
                  </w:r>
                </w:p>
              </w:tc>
              <w:tc>
                <w:tcPr>
                  <w:tcW w:w="500"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2014</w:t>
                  </w:r>
                </w:p>
              </w:tc>
            </w:tr>
            <w:tr w:rsidR="00D423B2" w:rsidRPr="00D423B2" w:rsidTr="00BB3FA6">
              <w:trPr>
                <w:trHeight w:val="842"/>
              </w:trPr>
              <w:tc>
                <w:tcPr>
                  <w:tcW w:w="682" w:type="dxa"/>
                </w:tcPr>
                <w:p w:rsidR="001666FB" w:rsidRPr="00D423B2" w:rsidRDefault="001666FB" w:rsidP="001666FB">
                  <w:pPr>
                    <w:pStyle w:val="ConsPlusNormal"/>
                    <w:rPr>
                      <w:rFonts w:ascii="Times New Roman" w:hAnsi="Times New Roman" w:cs="Times New Roman"/>
                      <w:sz w:val="18"/>
                      <w:szCs w:val="18"/>
                    </w:rPr>
                  </w:pPr>
                  <w:r w:rsidRPr="00D423B2">
                    <w:rPr>
                      <w:rFonts w:ascii="Times New Roman" w:hAnsi="Times New Roman" w:cs="Times New Roman"/>
                      <w:sz w:val="18"/>
                      <w:szCs w:val="18"/>
                    </w:rPr>
                    <w:t>1. Добыча нефти, млн тонн</w:t>
                  </w:r>
                </w:p>
              </w:tc>
              <w:tc>
                <w:tcPr>
                  <w:tcW w:w="487"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30,7</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31,3</w:t>
                  </w:r>
                </w:p>
              </w:tc>
              <w:tc>
                <w:tcPr>
                  <w:tcW w:w="35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31,9</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32,3</w:t>
                  </w:r>
                </w:p>
              </w:tc>
              <w:tc>
                <w:tcPr>
                  <w:tcW w:w="442"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32,5</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32,4</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32,5</w:t>
                  </w:r>
                </w:p>
              </w:tc>
              <w:tc>
                <w:tcPr>
                  <w:tcW w:w="448"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32,7</w:t>
                  </w:r>
                </w:p>
              </w:tc>
              <w:tc>
                <w:tcPr>
                  <w:tcW w:w="376"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32,9</w:t>
                  </w:r>
                </w:p>
              </w:tc>
              <w:tc>
                <w:tcPr>
                  <w:tcW w:w="500"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33,1</w:t>
                  </w:r>
                </w:p>
              </w:tc>
            </w:tr>
            <w:tr w:rsidR="00D423B2" w:rsidRPr="00D423B2" w:rsidTr="00BB3FA6">
              <w:trPr>
                <w:trHeight w:val="798"/>
              </w:trPr>
              <w:tc>
                <w:tcPr>
                  <w:tcW w:w="682" w:type="dxa"/>
                </w:tcPr>
                <w:p w:rsidR="001666FB" w:rsidRPr="00D423B2" w:rsidRDefault="001666FB" w:rsidP="001666FB">
                  <w:pPr>
                    <w:pStyle w:val="ConsPlusNormal"/>
                    <w:rPr>
                      <w:rFonts w:ascii="Times New Roman" w:hAnsi="Times New Roman" w:cs="Times New Roman"/>
                      <w:sz w:val="18"/>
                      <w:szCs w:val="18"/>
                    </w:rPr>
                  </w:pPr>
                  <w:r w:rsidRPr="00D423B2">
                    <w:rPr>
                      <w:rFonts w:ascii="Times New Roman" w:hAnsi="Times New Roman" w:cs="Times New Roman"/>
                      <w:sz w:val="18"/>
                      <w:szCs w:val="18"/>
                    </w:rPr>
                    <w:t>2. Переработка нефти, млн тонн</w:t>
                  </w:r>
                </w:p>
              </w:tc>
              <w:tc>
                <w:tcPr>
                  <w:tcW w:w="487"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6,8</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7,7</w:t>
                  </w:r>
                </w:p>
              </w:tc>
              <w:tc>
                <w:tcPr>
                  <w:tcW w:w="35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7,8</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7,9</w:t>
                  </w:r>
                </w:p>
              </w:tc>
              <w:tc>
                <w:tcPr>
                  <w:tcW w:w="442"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7,56</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8,35</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10,65</w:t>
                  </w:r>
                </w:p>
              </w:tc>
              <w:tc>
                <w:tcPr>
                  <w:tcW w:w="448"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15,6</w:t>
                  </w:r>
                </w:p>
              </w:tc>
              <w:tc>
                <w:tcPr>
                  <w:tcW w:w="376"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16,1</w:t>
                  </w:r>
                </w:p>
              </w:tc>
              <w:tc>
                <w:tcPr>
                  <w:tcW w:w="500"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17,1</w:t>
                  </w:r>
                </w:p>
              </w:tc>
            </w:tr>
            <w:tr w:rsidR="00D423B2" w:rsidRPr="00D423B2" w:rsidTr="00BB3FA6">
              <w:trPr>
                <w:trHeight w:val="842"/>
              </w:trPr>
              <w:tc>
                <w:tcPr>
                  <w:tcW w:w="682" w:type="dxa"/>
                </w:tcPr>
                <w:p w:rsidR="001666FB" w:rsidRPr="00D423B2" w:rsidRDefault="001666FB" w:rsidP="001666FB">
                  <w:pPr>
                    <w:pStyle w:val="ConsPlusNormal"/>
                    <w:rPr>
                      <w:rFonts w:ascii="Times New Roman" w:hAnsi="Times New Roman" w:cs="Times New Roman"/>
                      <w:sz w:val="18"/>
                      <w:szCs w:val="18"/>
                    </w:rPr>
                  </w:pPr>
                  <w:r w:rsidRPr="00D423B2">
                    <w:rPr>
                      <w:rFonts w:ascii="Times New Roman" w:hAnsi="Times New Roman" w:cs="Times New Roman"/>
                      <w:sz w:val="18"/>
                      <w:szCs w:val="18"/>
                    </w:rPr>
                    <w:t>3. Экспорт нефти, млн тонн</w:t>
                  </w:r>
                </w:p>
              </w:tc>
              <w:tc>
                <w:tcPr>
                  <w:tcW w:w="487"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19,1</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18,2</w:t>
                  </w:r>
                </w:p>
              </w:tc>
              <w:tc>
                <w:tcPr>
                  <w:tcW w:w="35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18,9</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18,5</w:t>
                  </w:r>
                </w:p>
              </w:tc>
              <w:tc>
                <w:tcPr>
                  <w:tcW w:w="442"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18,5</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20,4</w:t>
                  </w:r>
                </w:p>
              </w:tc>
              <w:tc>
                <w:tcPr>
                  <w:tcW w:w="443"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18,7</w:t>
                  </w:r>
                </w:p>
              </w:tc>
              <w:tc>
                <w:tcPr>
                  <w:tcW w:w="448"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13,8</w:t>
                  </w:r>
                </w:p>
              </w:tc>
              <w:tc>
                <w:tcPr>
                  <w:tcW w:w="376"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13,0</w:t>
                  </w:r>
                </w:p>
              </w:tc>
              <w:tc>
                <w:tcPr>
                  <w:tcW w:w="500" w:type="dxa"/>
                </w:tcPr>
                <w:p w:rsidR="001666FB" w:rsidRPr="00D423B2" w:rsidRDefault="001666FB" w:rsidP="001666FB">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10,8</w:t>
                  </w:r>
                </w:p>
              </w:tc>
            </w:tr>
          </w:tbl>
          <w:p w:rsidR="005F3D96" w:rsidRPr="00D423B2" w:rsidRDefault="005F3D96" w:rsidP="005F3D96">
            <w:pPr>
              <w:pStyle w:val="ConsPlusNormal"/>
              <w:ind w:firstLine="540"/>
              <w:jc w:val="both"/>
              <w:rPr>
                <w:rFonts w:ascii="Times New Roman" w:hAnsi="Times New Roman" w:cs="Times New Roman"/>
                <w:sz w:val="24"/>
                <w:szCs w:val="24"/>
              </w:rPr>
            </w:pP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Основные цели развития нефтеперерабатывающей промышленности Татарстана на перспективу до 2030 года заключаются в следующем:</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достижение лучших технологических показателей, в том числе по глубине переработки нефти, отбору светлых нефтепродуктов;</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соответствия товарной продукции требованиям современных мировых и законодательно установленных российских стандартов качества и технических регламентов;</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минимизация либо полное исключение производства нефтепродуктов-полуфабрикатов, темных нефтепродуктов;</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эффективной переработки тяжелой высокосернистой карбоновой нефти, распространенной в татарстанских месторождениях, с перспективой увеличения мощности по сырью до 22 - 23 млн тонн в год как общегосударственной стратегической задачи по снижению содержания высокосернистой нефти в общем экспортном потоке российской нефти;</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минимальной зависимости от поставок вспомогательного сырья, необходимого для производства товарных высококачественных нефтепродуктов, а также заключение долгосрочных договорных отношений на поставку необходимого сырья, ввозимого из-за пределов республики;</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ориентация на энерго- и ресурсосбережение предприятий отрасли.</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Основной целью развития отрасли на перспективу до 2030 года является стабильное функционирование и дальнейшее формирование в Республике Татарстан технологически и экологически прогрессивной, конкурентоспособной нефтеперерабатывающей промышленности, ориентированной на обеспечение высокой глубины переработки нефти и природных битумов, выпуск сырья для химической и нефтехимической промышленности региона, производство нефтепродуктов, имеющих потенциал сбыта на российском и мировом рынках с учетом перспективных требований к их качеству.</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Задачи, которые необходимо решить для достижения данной цели:</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строительство опережающими темпами современных, основанных на использовании прогрессивных технологий мирового уровня нефтеперерабатывающих производств, ориентированных на максимально глубокую переработку нефти (преимущественно высокосернистой, высоковязкой), природных битумов;</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участие в создании отечественных передовых технологий по переработке "нетрадиционной" нефти с обеспечением в дальнейшем технологического лидерства в этой области (с созданием в регионе соответствующих инновационных, инжиниринговых организаций, производителей оборудования и сопутствующей химической продукции (катализаторов и проч.);</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ориентация новых производств на достижение мировых стандартов качества нефтепродуктов;</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балансировки перспективных сырьевых потребностей региональной нефтехимии с планами развития нефтепереработки;</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встраивание отрасли в региональные и межрегиональные территориально-отраслевые кластеры, ориентированные на комплексную переработку природного сырья с выпуском конечной импортозамещающей и экспортоспособной продукции;</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рациональное размещение новых производств, обеспечивающее сокращение транспортных и прочих инфраструктурных затрат с одновременной ориентацией на использование только тех технологий, которые обеспечат минимизацию экологического ущерба в местах базирования объектов нефтепереработки;</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формирование и поддержка региональных форм территориальной организации бизнеса и инновационной деятельности - технопарков, бизнес-инкубаторов, образовательных кластеров и других, являющихся поставщиками новых технологий и кадров для отрасли;</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участие в создании альтернативных технологий топлива в целях диверсификации деятельности, минимизации рисков в случае перехода мирового сообщества после 2030 года на альтернативные топливные технологии, а также в интересах синергетического воздействия на другие сферы региональной экономики.</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основным проектом ОАО "ТАИФ-НК" является проект строительства Комплекса по глубокой переработке тяжелых остатков (далее - КГПТО), после ввода которого нефтеперерабатывающая промышленность Российской Федерации пополнится эффективным нефтеперерабатывающим производством мирового стандарта.</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Основная цель данного масштабного, капиталоемкого стратегического проекта - исключение производства топочного высокосернистого мазута с обеспечением роста выпуска светлых высоколиквидных нефтепродуктов, соответствующих мировым и европейским требованиям качества. При проектировании КГПТО предполагается внедрение передовых ресурсосберегающих технологий и мероприятий, позволяющих снизить негативное воздействие на окружающую среду от проектируемых и действующих объектов НПЗ.</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 пуском КГПТО, который планируется на 2016 год, глубина переработки нефти составит не менее 95 процентов и переработка нефти станет практически безотходной. Весь выпускаемый перечень продукции КГПТО будет обладать улучшенными экологическими характеристиками: пониженным содержанием серы в нафте, автобензинах и дизельном топливе (не более 10 ppm), в сжиженных углеводородных газах. Эти высококачественные и ликвидные нефтепродукты будут реализовываться в Республике Татарстан и Российской Федерации, а также отгружаться на экспорт.</w:t>
            </w:r>
          </w:p>
          <w:p w:rsidR="005F3D96" w:rsidRPr="00D423B2" w:rsidRDefault="005F3D96" w:rsidP="005F3D9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Схема перспективного развития ОАО "ТАИФ-НК", учитывающая реализацию крупных инвестиционных проектов по новому строительству и модернизации действующих производств, представлена на рисунке 10.</w:t>
            </w:r>
          </w:p>
          <w:p w:rsidR="00990043" w:rsidRPr="00D423B2" w:rsidRDefault="00990043" w:rsidP="005F3D96">
            <w:pPr>
              <w:pStyle w:val="ConsPlusNormal"/>
              <w:ind w:firstLine="540"/>
              <w:jc w:val="both"/>
              <w:rPr>
                <w:rFonts w:ascii="Times New Roman" w:hAnsi="Times New Roman" w:cs="Times New Roman"/>
                <w:sz w:val="24"/>
                <w:szCs w:val="24"/>
              </w:rPr>
            </w:pPr>
          </w:p>
          <w:p w:rsidR="001666FB" w:rsidRPr="00D423B2" w:rsidRDefault="00990043" w:rsidP="00A17D8D">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13BE079A" wp14:editId="7C36575D">
                  <wp:extent cx="2353310" cy="1481455"/>
                  <wp:effectExtent l="0" t="0" r="8890"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53310" cy="1481455"/>
                          </a:xfrm>
                          <a:prstGeom prst="rect">
                            <a:avLst/>
                          </a:prstGeom>
                          <a:noFill/>
                        </pic:spPr>
                      </pic:pic>
                    </a:graphicData>
                  </a:graphic>
                </wp:inline>
              </w:drawing>
            </w:r>
          </w:p>
          <w:p w:rsidR="00990043" w:rsidRPr="00D423B2" w:rsidRDefault="00990043" w:rsidP="00990043">
            <w:pPr>
              <w:jc w:val="center"/>
              <w:rPr>
                <w:rFonts w:ascii="Times New Roman" w:hAnsi="Times New Roman" w:cs="Times New Roman"/>
                <w:sz w:val="18"/>
                <w:szCs w:val="18"/>
              </w:rPr>
            </w:pPr>
            <w:r w:rsidRPr="00D423B2">
              <w:rPr>
                <w:rFonts w:ascii="Times New Roman" w:hAnsi="Times New Roman" w:cs="Times New Roman"/>
                <w:sz w:val="18"/>
                <w:szCs w:val="18"/>
              </w:rPr>
              <w:t>Рис. 10. Перспективная схема организации производств</w:t>
            </w:r>
          </w:p>
          <w:p w:rsidR="00990043" w:rsidRPr="00D423B2" w:rsidRDefault="00990043" w:rsidP="00990043">
            <w:pPr>
              <w:jc w:val="center"/>
              <w:rPr>
                <w:rFonts w:ascii="Times New Roman" w:hAnsi="Times New Roman" w:cs="Times New Roman"/>
                <w:sz w:val="18"/>
                <w:szCs w:val="18"/>
              </w:rPr>
            </w:pPr>
            <w:r w:rsidRPr="00D423B2">
              <w:rPr>
                <w:rFonts w:ascii="Times New Roman" w:hAnsi="Times New Roman" w:cs="Times New Roman"/>
                <w:sz w:val="18"/>
                <w:szCs w:val="18"/>
              </w:rPr>
              <w:t>на ОАО "ТАИФ-НК"</w:t>
            </w:r>
          </w:p>
          <w:p w:rsidR="00990043" w:rsidRPr="00D423B2" w:rsidRDefault="00990043" w:rsidP="00990043">
            <w:pPr>
              <w:jc w:val="center"/>
              <w:rPr>
                <w:rFonts w:ascii="Times New Roman" w:hAnsi="Times New Roman" w:cs="Times New Roman"/>
                <w:sz w:val="18"/>
                <w:szCs w:val="18"/>
              </w:rPr>
            </w:pPr>
          </w:p>
          <w:p w:rsidR="00990043" w:rsidRPr="00D423B2" w:rsidRDefault="00990043" w:rsidP="00990043">
            <w:pPr>
              <w:jc w:val="center"/>
              <w:rPr>
                <w:rFonts w:ascii="Times New Roman" w:hAnsi="Times New Roman" w:cs="Times New Roman"/>
                <w:sz w:val="18"/>
                <w:szCs w:val="18"/>
              </w:rPr>
            </w:pP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Схема перспективного развития Комплекса "ТАНЕКО" по этапам представлена на рисунке 11.</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рамках следующих этапов реализации проекта строительства Комплекса "ТАНЕКО" ведутся проектирование и строительство установки замедленного коксования и установки гидроочистки нафты. Ввод в эксплуатацию данных установок в 2015 году позволит прекратить выпуск топочного мазута, обеспечить отбор светлых нефтепродуктов на уровне 77 процентов и довести глубину переработки до 90 процентов.</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2016 - 2017 годах планируется завершение строительства установок каталитического риформинга и изомеризации легкой нафты с дальнейшим пуском комплекса получения ароматических углеводородов. Данный набор установок позволит получать высококачественные автомобильные бензины и индивидуальные ароматические соединения: бензол, параксилол.</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завершение первой очереди Комплекса "ТАНЕКО" планируется ввод в эксплуатацию установки каталитического риформинга, гидроочистки керосина и дизельного топлива, что позволит увеличить объемы производства моторного топлива высочайшего экологического класса "Евро-5".</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Ведутся работы по увеличению объема переработки нефти на Комплексе "ТАНЕКО" к 2020 году до 14 млн тонн в год. Начато рабочее проектирование, строительство новой установки ЭЛОУ-АВТ-6.</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К 2030 году на Комплексе "ТАНЕКО" с учетом переработки 14 млн тонн нефти планируется производить следующую товарную продукцию:</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сжиженные газы, нафту для нефтехимических производств;</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реактивное топливо;</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дизельное топливо (класс 5);</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автомобильный бензин (класс 5);</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бензол;</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параксилол;</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сера гранулированная;</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базовое масло 2 сСт;</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базовое масло 4 сСт;</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кокс товарный.</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рассматриваемом сценарии развития нефтепереработки в период до 2030 года на всех нефтеперерабатывающих производствах Республики Татарстан предполагается более активный инвестиционно-инновационный процесс (данные по инвестициям представлены в таблице 11). Данный процесс будет финансироваться в основном за счет собственных средств предприятий, и результатом его станет не столько увеличение физических объемов выпуска, сколько техническое перевооружение действующих производств за счет внедрения новых технологий, разрабатываемых собственными силами предприятий, а также сторонними организациями как Республики Татарстан, так и Российской Федерации.</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Предполагается, что к 2020 году научный и технологический потенциал нефтеперерабатывающей отрасли республики достигнет конкурентоспособного уровня, и о собственных новых технологиях можно будет говорить как об экспортоспособном и импортозамещающем продукте.</w:t>
            </w:r>
          </w:p>
          <w:p w:rsidR="00A41136" w:rsidRPr="00D423B2" w:rsidRDefault="00A41136" w:rsidP="00A4113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результате реализации инвестиционных программ предприятий отрасли мощности по переработке нефти в Республике Татарстан возрастут с 14 млн тонн в 2014 году до 22 млн тонн с соответствующим ростом объемов выпуска и экспорта нефтепродуктов, а также поставкой нефтепродуктов и углеводородных газов на предприятия нефтехимии Республики Татарстан в рамках дальнейшего развития внутриреспубликанской кооперации по переработке углеводородного сырья (таблица 12).</w:t>
            </w:r>
          </w:p>
          <w:p w:rsidR="00A41136" w:rsidRPr="00D423B2" w:rsidRDefault="00A41136" w:rsidP="00A41136">
            <w:pPr>
              <w:pStyle w:val="ConsPlusNormal"/>
              <w:ind w:firstLine="540"/>
              <w:jc w:val="right"/>
              <w:rPr>
                <w:rFonts w:ascii="Times New Roman" w:hAnsi="Times New Roman" w:cs="Times New Roman"/>
                <w:sz w:val="24"/>
                <w:szCs w:val="24"/>
              </w:rPr>
            </w:pPr>
          </w:p>
          <w:p w:rsidR="00A41136" w:rsidRPr="00D423B2" w:rsidRDefault="00A41136" w:rsidP="00A41136">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11</w:t>
            </w:r>
          </w:p>
          <w:p w:rsidR="00A41136" w:rsidRPr="00D423B2" w:rsidRDefault="00A41136" w:rsidP="00A41136">
            <w:pPr>
              <w:widowControl w:val="0"/>
              <w:autoSpaceDE w:val="0"/>
              <w:autoSpaceDN w:val="0"/>
              <w:jc w:val="center"/>
              <w:rPr>
                <w:rFonts w:ascii="Times New Roman" w:eastAsia="Times New Roman" w:hAnsi="Times New Roman" w:cs="Times New Roman"/>
                <w:b/>
                <w:sz w:val="24"/>
                <w:szCs w:val="24"/>
                <w:lang w:eastAsia="ru-RU"/>
              </w:rPr>
            </w:pPr>
          </w:p>
          <w:p w:rsidR="00A41136" w:rsidRPr="00D423B2" w:rsidRDefault="00A41136" w:rsidP="00A41136">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Объем инвестиций в развитие нефтеперерабатывающей отрасли</w:t>
            </w:r>
          </w:p>
          <w:p w:rsidR="00A41136" w:rsidRPr="00D423B2" w:rsidRDefault="00A41136" w:rsidP="00A41136">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Республики Татарстан</w:t>
            </w:r>
          </w:p>
          <w:p w:rsidR="00A41136" w:rsidRPr="00D423B2" w:rsidRDefault="00A41136" w:rsidP="00A41136">
            <w:pPr>
              <w:widowControl w:val="0"/>
              <w:autoSpaceDE w:val="0"/>
              <w:autoSpaceDN w:val="0"/>
              <w:jc w:val="center"/>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293"/>
              <w:gridCol w:w="523"/>
              <w:gridCol w:w="698"/>
              <w:gridCol w:w="598"/>
              <w:gridCol w:w="598"/>
              <w:gridCol w:w="598"/>
              <w:gridCol w:w="598"/>
            </w:tblGrid>
            <w:tr w:rsidR="00D423B2" w:rsidRPr="00D423B2" w:rsidTr="00BB3FA6">
              <w:trPr>
                <w:trHeight w:val="507"/>
              </w:trPr>
              <w:tc>
                <w:tcPr>
                  <w:tcW w:w="1293" w:type="dxa"/>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Наименование показателя/годы</w:t>
                  </w:r>
                </w:p>
              </w:tc>
              <w:tc>
                <w:tcPr>
                  <w:tcW w:w="523" w:type="dxa"/>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1999 - 2009</w:t>
                  </w:r>
                </w:p>
              </w:tc>
              <w:tc>
                <w:tcPr>
                  <w:tcW w:w="698" w:type="dxa"/>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2010 - 2013</w:t>
                  </w:r>
                </w:p>
              </w:tc>
              <w:tc>
                <w:tcPr>
                  <w:tcW w:w="598" w:type="dxa"/>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2014 - 2015</w:t>
                  </w:r>
                </w:p>
              </w:tc>
              <w:tc>
                <w:tcPr>
                  <w:tcW w:w="598" w:type="dxa"/>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2016 - 2020</w:t>
                  </w:r>
                </w:p>
              </w:tc>
              <w:tc>
                <w:tcPr>
                  <w:tcW w:w="598" w:type="dxa"/>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2021 - 2025</w:t>
                  </w:r>
                </w:p>
              </w:tc>
              <w:tc>
                <w:tcPr>
                  <w:tcW w:w="598" w:type="dxa"/>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2026 - 2030</w:t>
                  </w:r>
                </w:p>
              </w:tc>
            </w:tr>
            <w:tr w:rsidR="00D423B2" w:rsidRPr="00D423B2" w:rsidTr="00BB3FA6">
              <w:trPr>
                <w:trHeight w:val="1284"/>
              </w:trPr>
              <w:tc>
                <w:tcPr>
                  <w:tcW w:w="1293" w:type="dxa"/>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Объем инвестиций в основной капитал предприятий нефтепереработки, млрд рублей</w:t>
                  </w:r>
                </w:p>
              </w:tc>
              <w:tc>
                <w:tcPr>
                  <w:tcW w:w="523" w:type="dxa"/>
                  <w:vAlign w:val="center"/>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140,5</w:t>
                  </w:r>
                </w:p>
              </w:tc>
              <w:tc>
                <w:tcPr>
                  <w:tcW w:w="698" w:type="dxa"/>
                  <w:vAlign w:val="center"/>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202,8</w:t>
                  </w:r>
                </w:p>
              </w:tc>
              <w:tc>
                <w:tcPr>
                  <w:tcW w:w="598" w:type="dxa"/>
                  <w:vAlign w:val="center"/>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119,9</w:t>
                  </w:r>
                </w:p>
              </w:tc>
              <w:tc>
                <w:tcPr>
                  <w:tcW w:w="598" w:type="dxa"/>
                  <w:vAlign w:val="center"/>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58,3</w:t>
                  </w:r>
                </w:p>
              </w:tc>
              <w:tc>
                <w:tcPr>
                  <w:tcW w:w="598" w:type="dxa"/>
                  <w:vAlign w:val="center"/>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6,9</w:t>
                  </w:r>
                </w:p>
              </w:tc>
              <w:tc>
                <w:tcPr>
                  <w:tcW w:w="598" w:type="dxa"/>
                  <w:vAlign w:val="center"/>
                </w:tcPr>
                <w:p w:rsidR="002F451D" w:rsidRPr="00D423B2" w:rsidRDefault="002F451D" w:rsidP="002F451D">
                  <w:pPr>
                    <w:pStyle w:val="ConsPlusNormal"/>
                    <w:rPr>
                      <w:rFonts w:ascii="Times New Roman" w:hAnsi="Times New Roman" w:cs="Times New Roman"/>
                      <w:sz w:val="18"/>
                      <w:szCs w:val="18"/>
                    </w:rPr>
                  </w:pPr>
                  <w:r w:rsidRPr="00D423B2">
                    <w:rPr>
                      <w:rFonts w:ascii="Times New Roman" w:hAnsi="Times New Roman" w:cs="Times New Roman"/>
                      <w:sz w:val="18"/>
                      <w:szCs w:val="18"/>
                    </w:rPr>
                    <w:t>7,1</w:t>
                  </w:r>
                </w:p>
              </w:tc>
            </w:tr>
          </w:tbl>
          <w:p w:rsidR="002F451D" w:rsidRPr="00D423B2" w:rsidRDefault="002F451D" w:rsidP="002F451D">
            <w:pPr>
              <w:pStyle w:val="ConsPlusNormal"/>
              <w:jc w:val="both"/>
              <w:rPr>
                <w:rFonts w:ascii="Times New Roman" w:hAnsi="Times New Roman" w:cs="Times New Roman"/>
                <w:i/>
                <w:sz w:val="18"/>
                <w:szCs w:val="18"/>
              </w:rPr>
            </w:pPr>
            <w:r w:rsidRPr="00D423B2">
              <w:rPr>
                <w:rFonts w:ascii="Times New Roman" w:hAnsi="Times New Roman" w:cs="Times New Roman"/>
                <w:i/>
                <w:sz w:val="18"/>
                <w:szCs w:val="18"/>
              </w:rPr>
              <w:t>По данным Татарстанстата и прогноза предприятий отрасли (без учета 2-й очереди строительства Комплекса "ТАНЕКО")</w:t>
            </w:r>
          </w:p>
          <w:p w:rsidR="00A41136" w:rsidRPr="00D423B2" w:rsidRDefault="00A41136" w:rsidP="00A41136">
            <w:pPr>
              <w:widowControl w:val="0"/>
              <w:autoSpaceDE w:val="0"/>
              <w:autoSpaceDN w:val="0"/>
              <w:jc w:val="center"/>
              <w:rPr>
                <w:rFonts w:ascii="Times New Roman" w:eastAsia="Times New Roman" w:hAnsi="Times New Roman" w:cs="Times New Roman"/>
                <w:sz w:val="24"/>
                <w:szCs w:val="24"/>
                <w:lang w:eastAsia="ru-RU"/>
              </w:rPr>
            </w:pPr>
          </w:p>
          <w:p w:rsidR="00276C64" w:rsidRPr="00D423B2" w:rsidRDefault="00276C64" w:rsidP="00276C64">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12</w:t>
            </w:r>
          </w:p>
          <w:p w:rsidR="00276C64" w:rsidRPr="00D423B2" w:rsidRDefault="00276C64" w:rsidP="00276C64">
            <w:pPr>
              <w:pStyle w:val="ConsPlusNormal"/>
              <w:ind w:firstLine="540"/>
              <w:jc w:val="center"/>
              <w:rPr>
                <w:rFonts w:ascii="Times New Roman" w:hAnsi="Times New Roman" w:cs="Times New Roman"/>
                <w:sz w:val="24"/>
                <w:szCs w:val="24"/>
              </w:rPr>
            </w:pPr>
          </w:p>
          <w:p w:rsidR="00276C64" w:rsidRPr="00D423B2" w:rsidRDefault="00276C64" w:rsidP="00276C64">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Перспективный объем перерабатываемой нефти в ОАО "ТАИФ-НК" и Комплексе "ТАНЕКО"</w:t>
            </w:r>
          </w:p>
          <w:p w:rsidR="00276C64" w:rsidRPr="00D423B2" w:rsidRDefault="00276C64" w:rsidP="00276C64">
            <w:pPr>
              <w:pStyle w:val="ConsPlusNormal"/>
              <w:ind w:firstLine="540"/>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514"/>
              <w:gridCol w:w="487"/>
              <w:gridCol w:w="482"/>
              <w:gridCol w:w="484"/>
              <w:gridCol w:w="479"/>
              <w:gridCol w:w="484"/>
            </w:tblGrid>
            <w:tr w:rsidR="00D423B2" w:rsidRPr="00D423B2" w:rsidTr="00BB3FA6">
              <w:trPr>
                <w:trHeight w:val="127"/>
              </w:trPr>
              <w:tc>
                <w:tcPr>
                  <w:tcW w:w="2514" w:type="dxa"/>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Наименование показателя/годы</w:t>
                  </w:r>
                </w:p>
              </w:tc>
              <w:tc>
                <w:tcPr>
                  <w:tcW w:w="487" w:type="dxa"/>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2014</w:t>
                  </w:r>
                </w:p>
              </w:tc>
              <w:tc>
                <w:tcPr>
                  <w:tcW w:w="482" w:type="dxa"/>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2015</w:t>
                  </w:r>
                </w:p>
              </w:tc>
              <w:tc>
                <w:tcPr>
                  <w:tcW w:w="484" w:type="dxa"/>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2020</w:t>
                  </w:r>
                </w:p>
              </w:tc>
              <w:tc>
                <w:tcPr>
                  <w:tcW w:w="479" w:type="dxa"/>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2025</w:t>
                  </w:r>
                </w:p>
              </w:tc>
              <w:tc>
                <w:tcPr>
                  <w:tcW w:w="484" w:type="dxa"/>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2030</w:t>
                  </w:r>
                </w:p>
              </w:tc>
            </w:tr>
            <w:tr w:rsidR="00D423B2" w:rsidRPr="00D423B2" w:rsidTr="00BB3FA6">
              <w:trPr>
                <w:trHeight w:val="127"/>
              </w:trPr>
              <w:tc>
                <w:tcPr>
                  <w:tcW w:w="2514" w:type="dxa"/>
                </w:tcPr>
                <w:p w:rsidR="00276C64" w:rsidRPr="00D423B2" w:rsidRDefault="00276C64" w:rsidP="00276C64">
                  <w:pPr>
                    <w:pStyle w:val="ConsPlusNormal"/>
                    <w:rPr>
                      <w:rFonts w:ascii="Times New Roman" w:hAnsi="Times New Roman" w:cs="Times New Roman"/>
                      <w:sz w:val="18"/>
                      <w:szCs w:val="18"/>
                    </w:rPr>
                  </w:pPr>
                  <w:r w:rsidRPr="00D423B2">
                    <w:rPr>
                      <w:rFonts w:ascii="Times New Roman" w:hAnsi="Times New Roman" w:cs="Times New Roman"/>
                      <w:sz w:val="18"/>
                      <w:szCs w:val="18"/>
                    </w:rPr>
                    <w:t>Объем перерабатываемой нефти, млн тонн в том числе</w:t>
                  </w:r>
                </w:p>
              </w:tc>
              <w:tc>
                <w:tcPr>
                  <w:tcW w:w="487"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15,9</w:t>
                  </w:r>
                </w:p>
              </w:tc>
              <w:tc>
                <w:tcPr>
                  <w:tcW w:w="482"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15,4</w:t>
                  </w:r>
                </w:p>
              </w:tc>
              <w:tc>
                <w:tcPr>
                  <w:tcW w:w="484"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21,4</w:t>
                  </w:r>
                </w:p>
              </w:tc>
              <w:tc>
                <w:tcPr>
                  <w:tcW w:w="479"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21,4</w:t>
                  </w:r>
                </w:p>
              </w:tc>
              <w:tc>
                <w:tcPr>
                  <w:tcW w:w="484"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21,4</w:t>
                  </w:r>
                </w:p>
              </w:tc>
            </w:tr>
            <w:tr w:rsidR="00D423B2" w:rsidRPr="00D423B2" w:rsidTr="00BB3FA6">
              <w:trPr>
                <w:trHeight w:val="134"/>
              </w:trPr>
              <w:tc>
                <w:tcPr>
                  <w:tcW w:w="2514" w:type="dxa"/>
                </w:tcPr>
                <w:p w:rsidR="00276C64" w:rsidRPr="00D423B2" w:rsidRDefault="00276C64" w:rsidP="00276C64">
                  <w:pPr>
                    <w:pStyle w:val="ConsPlusNormal"/>
                    <w:ind w:firstLine="283"/>
                    <w:jc w:val="both"/>
                    <w:rPr>
                      <w:rFonts w:ascii="Times New Roman" w:hAnsi="Times New Roman" w:cs="Times New Roman"/>
                      <w:sz w:val="18"/>
                      <w:szCs w:val="18"/>
                    </w:rPr>
                  </w:pPr>
                  <w:r w:rsidRPr="00D423B2">
                    <w:rPr>
                      <w:rFonts w:ascii="Times New Roman" w:hAnsi="Times New Roman" w:cs="Times New Roman"/>
                      <w:sz w:val="18"/>
                      <w:szCs w:val="18"/>
                    </w:rPr>
                    <w:t>ОАО "ТАИФ-НК"</w:t>
                  </w:r>
                </w:p>
              </w:tc>
              <w:tc>
                <w:tcPr>
                  <w:tcW w:w="487"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7,4</w:t>
                  </w:r>
                </w:p>
              </w:tc>
              <w:tc>
                <w:tcPr>
                  <w:tcW w:w="482"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7,4</w:t>
                  </w:r>
                </w:p>
              </w:tc>
              <w:tc>
                <w:tcPr>
                  <w:tcW w:w="484"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7,4</w:t>
                  </w:r>
                </w:p>
              </w:tc>
              <w:tc>
                <w:tcPr>
                  <w:tcW w:w="479"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7,4</w:t>
                  </w:r>
                </w:p>
              </w:tc>
              <w:tc>
                <w:tcPr>
                  <w:tcW w:w="484"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7,4</w:t>
                  </w:r>
                </w:p>
              </w:tc>
            </w:tr>
            <w:tr w:rsidR="00D423B2" w:rsidRPr="00D423B2" w:rsidTr="00BB3FA6">
              <w:trPr>
                <w:trHeight w:val="127"/>
              </w:trPr>
              <w:tc>
                <w:tcPr>
                  <w:tcW w:w="2514" w:type="dxa"/>
                </w:tcPr>
                <w:p w:rsidR="00276C64" w:rsidRPr="00D423B2" w:rsidRDefault="00276C64" w:rsidP="00276C64">
                  <w:pPr>
                    <w:pStyle w:val="ConsPlusNormal"/>
                    <w:ind w:firstLine="283"/>
                    <w:jc w:val="both"/>
                    <w:rPr>
                      <w:rFonts w:ascii="Times New Roman" w:hAnsi="Times New Roman" w:cs="Times New Roman"/>
                      <w:sz w:val="18"/>
                      <w:szCs w:val="18"/>
                    </w:rPr>
                  </w:pPr>
                  <w:r w:rsidRPr="00D423B2">
                    <w:rPr>
                      <w:rFonts w:ascii="Times New Roman" w:hAnsi="Times New Roman" w:cs="Times New Roman"/>
                      <w:sz w:val="18"/>
                      <w:szCs w:val="18"/>
                    </w:rPr>
                    <w:t>Комплекс "ТАНЕКО"</w:t>
                  </w:r>
                </w:p>
              </w:tc>
              <w:tc>
                <w:tcPr>
                  <w:tcW w:w="487"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8,5</w:t>
                  </w:r>
                </w:p>
              </w:tc>
              <w:tc>
                <w:tcPr>
                  <w:tcW w:w="482"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8,5</w:t>
                  </w:r>
                </w:p>
              </w:tc>
              <w:tc>
                <w:tcPr>
                  <w:tcW w:w="484"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14,0</w:t>
                  </w:r>
                </w:p>
              </w:tc>
              <w:tc>
                <w:tcPr>
                  <w:tcW w:w="479"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14,0</w:t>
                  </w:r>
                </w:p>
              </w:tc>
              <w:tc>
                <w:tcPr>
                  <w:tcW w:w="484" w:type="dxa"/>
                  <w:vAlign w:val="center"/>
                </w:tcPr>
                <w:p w:rsidR="00276C64" w:rsidRPr="00D423B2" w:rsidRDefault="00276C64" w:rsidP="00276C64">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14,0</w:t>
                  </w:r>
                </w:p>
              </w:tc>
            </w:tr>
          </w:tbl>
          <w:p w:rsidR="00276C64" w:rsidRPr="00D423B2" w:rsidRDefault="00276C64" w:rsidP="00276C64">
            <w:pPr>
              <w:pStyle w:val="ConsPlusNormal"/>
              <w:rPr>
                <w:rFonts w:ascii="Times New Roman" w:hAnsi="Times New Roman" w:cs="Times New Roman"/>
                <w:i/>
                <w:sz w:val="24"/>
                <w:szCs w:val="24"/>
              </w:rPr>
            </w:pPr>
            <w:r w:rsidRPr="00D423B2">
              <w:rPr>
                <w:rFonts w:ascii="Times New Roman" w:hAnsi="Times New Roman" w:cs="Times New Roman"/>
                <w:i/>
                <w:sz w:val="24"/>
                <w:szCs w:val="24"/>
              </w:rPr>
              <w:t>По прогнозным данным предприятий отрасли</w:t>
            </w:r>
          </w:p>
          <w:p w:rsidR="00276C64" w:rsidRPr="00D423B2" w:rsidRDefault="00276C64" w:rsidP="00A41136">
            <w:pPr>
              <w:widowControl w:val="0"/>
              <w:autoSpaceDE w:val="0"/>
              <w:autoSpaceDN w:val="0"/>
              <w:jc w:val="center"/>
              <w:rPr>
                <w:rFonts w:ascii="Times New Roman" w:eastAsia="Times New Roman" w:hAnsi="Times New Roman" w:cs="Times New Roman"/>
                <w:sz w:val="24"/>
                <w:szCs w:val="24"/>
                <w:lang w:eastAsia="ru-RU"/>
              </w:rPr>
            </w:pPr>
          </w:p>
          <w:p w:rsidR="00CC018C" w:rsidRPr="00D423B2" w:rsidRDefault="00CC018C" w:rsidP="00CC018C">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Рис. 11. Перспективная схема организации производств</w:t>
            </w:r>
          </w:p>
          <w:p w:rsidR="00CC018C" w:rsidRPr="00D423B2" w:rsidRDefault="00CC018C" w:rsidP="00CC018C">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на ОАО "ТАНЕКО"</w:t>
            </w:r>
          </w:p>
          <w:p w:rsidR="00CC018C" w:rsidRPr="00D423B2" w:rsidRDefault="00CC018C" w:rsidP="00CC018C">
            <w:pPr>
              <w:pStyle w:val="ConsPlusNormal"/>
              <w:ind w:firstLine="540"/>
              <w:jc w:val="center"/>
              <w:rPr>
                <w:rFonts w:ascii="Times New Roman" w:hAnsi="Times New Roman" w:cs="Times New Roman"/>
                <w:sz w:val="24"/>
                <w:szCs w:val="24"/>
              </w:rPr>
            </w:pPr>
          </w:p>
          <w:p w:rsidR="00CC018C" w:rsidRPr="00D423B2" w:rsidRDefault="00CC018C" w:rsidP="00CC018C">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(не приводится)</w:t>
            </w:r>
          </w:p>
          <w:p w:rsidR="00CC018C" w:rsidRPr="00D423B2" w:rsidRDefault="00CC018C" w:rsidP="00CC018C">
            <w:pPr>
              <w:pStyle w:val="ConsPlusNormal"/>
              <w:ind w:firstLine="540"/>
              <w:jc w:val="both"/>
              <w:rPr>
                <w:rFonts w:ascii="Times New Roman" w:hAnsi="Times New Roman" w:cs="Times New Roman"/>
                <w:sz w:val="24"/>
                <w:szCs w:val="24"/>
              </w:rPr>
            </w:pPr>
          </w:p>
          <w:p w:rsidR="00CC018C" w:rsidRPr="00D423B2" w:rsidRDefault="00CC018C" w:rsidP="00CC01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Объемы выпускаемой основной товарной продукции предприятиями нефтеперерабатывающей промышленности Республики Татарстан в перспективе до 2030 года приведены в таблице 13.</w:t>
            </w:r>
          </w:p>
          <w:p w:rsidR="00CE6F42" w:rsidRPr="00D423B2" w:rsidRDefault="00CE6F42" w:rsidP="00CC018C">
            <w:pPr>
              <w:pStyle w:val="ConsPlusNormal"/>
              <w:ind w:firstLine="540"/>
              <w:jc w:val="right"/>
              <w:rPr>
                <w:rFonts w:ascii="Times New Roman" w:hAnsi="Times New Roman" w:cs="Times New Roman"/>
                <w:sz w:val="24"/>
                <w:szCs w:val="24"/>
              </w:rPr>
            </w:pPr>
          </w:p>
          <w:p w:rsidR="00CC018C" w:rsidRPr="00D423B2" w:rsidRDefault="00CC018C" w:rsidP="00CC018C">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13</w:t>
            </w:r>
          </w:p>
          <w:p w:rsidR="00CC018C" w:rsidRPr="00D423B2" w:rsidRDefault="00CC018C" w:rsidP="00CC018C">
            <w:pPr>
              <w:pStyle w:val="ConsPlusNormal"/>
              <w:ind w:firstLine="540"/>
              <w:jc w:val="both"/>
              <w:rPr>
                <w:rFonts w:ascii="Times New Roman" w:hAnsi="Times New Roman" w:cs="Times New Roman"/>
                <w:sz w:val="24"/>
                <w:szCs w:val="24"/>
              </w:rPr>
            </w:pPr>
          </w:p>
          <w:p w:rsidR="00CC018C" w:rsidRPr="00D423B2" w:rsidRDefault="00CC018C" w:rsidP="00CC018C">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Производство основной товарной продукции в</w:t>
            </w:r>
          </w:p>
          <w:p w:rsidR="00CC018C" w:rsidRPr="00D423B2" w:rsidRDefault="00CC018C" w:rsidP="00CC018C">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нефтеперерабатывающей отрасли</w:t>
            </w:r>
          </w:p>
          <w:p w:rsidR="00CC018C" w:rsidRPr="00D423B2" w:rsidRDefault="00CC018C" w:rsidP="00CC018C">
            <w:pPr>
              <w:pStyle w:val="ConsPlusNormal"/>
              <w:ind w:firstLine="540"/>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289"/>
              <w:gridCol w:w="651"/>
              <w:gridCol w:w="736"/>
              <w:gridCol w:w="731"/>
              <w:gridCol w:w="743"/>
            </w:tblGrid>
            <w:tr w:rsidR="00D423B2" w:rsidRPr="00D423B2" w:rsidTr="00CC018C">
              <w:trPr>
                <w:trHeight w:val="214"/>
              </w:trPr>
              <w:tc>
                <w:tcPr>
                  <w:tcW w:w="2289"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Наименование товарной продукции/годы</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2015</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2020</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2025</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2030</w:t>
                  </w:r>
                </w:p>
              </w:tc>
            </w:tr>
            <w:tr w:rsidR="00D423B2" w:rsidRPr="00D423B2" w:rsidTr="00CC018C">
              <w:trPr>
                <w:trHeight w:val="429"/>
              </w:trPr>
              <w:tc>
                <w:tcPr>
                  <w:tcW w:w="2289" w:type="dxa"/>
                </w:tcPr>
                <w:p w:rsidR="00CC018C" w:rsidRPr="00D423B2" w:rsidRDefault="00CC018C" w:rsidP="00CC018C">
                  <w:pPr>
                    <w:pStyle w:val="ConsPlusNormal"/>
                    <w:rPr>
                      <w:rFonts w:ascii="Times New Roman" w:hAnsi="Times New Roman" w:cs="Times New Roman"/>
                      <w:sz w:val="16"/>
                      <w:szCs w:val="16"/>
                    </w:rPr>
                  </w:pPr>
                  <w:r w:rsidRPr="00D423B2">
                    <w:rPr>
                      <w:rFonts w:ascii="Times New Roman" w:hAnsi="Times New Roman" w:cs="Times New Roman"/>
                      <w:sz w:val="16"/>
                      <w:szCs w:val="16"/>
                    </w:rPr>
                    <w:t>Прямогонный бензин/ БГС/Нафта, тыс. тонн</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3 680,9</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3 738,3</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2 506,3</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2 506,3</w:t>
                  </w:r>
                </w:p>
              </w:tc>
            </w:tr>
            <w:tr w:rsidR="00D423B2" w:rsidRPr="00D423B2" w:rsidTr="00CC018C">
              <w:trPr>
                <w:trHeight w:val="214"/>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ОАО "ТАИФ-НК"</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1 735,0</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2 237,3</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2 237,3</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2 237,3</w:t>
                  </w:r>
                </w:p>
              </w:tc>
            </w:tr>
            <w:tr w:rsidR="00D423B2" w:rsidRPr="00D423B2" w:rsidTr="00CC018C">
              <w:trPr>
                <w:trHeight w:val="226"/>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Комплекс "ТАНЕКО"</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1 945,9</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1 501,0</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269,0</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269,0</w:t>
                  </w:r>
                </w:p>
              </w:tc>
            </w:tr>
            <w:tr w:rsidR="00D423B2" w:rsidRPr="00D423B2" w:rsidTr="00CC018C">
              <w:trPr>
                <w:trHeight w:val="214"/>
              </w:trPr>
              <w:tc>
                <w:tcPr>
                  <w:tcW w:w="2289" w:type="dxa"/>
                </w:tcPr>
                <w:p w:rsidR="00CC018C" w:rsidRPr="00D423B2" w:rsidRDefault="00CC018C" w:rsidP="00CC018C">
                  <w:pPr>
                    <w:pStyle w:val="ConsPlusNormal"/>
                    <w:rPr>
                      <w:rFonts w:ascii="Times New Roman" w:hAnsi="Times New Roman" w:cs="Times New Roman"/>
                      <w:sz w:val="16"/>
                      <w:szCs w:val="16"/>
                    </w:rPr>
                  </w:pPr>
                  <w:r w:rsidRPr="00D423B2">
                    <w:rPr>
                      <w:rFonts w:ascii="Times New Roman" w:hAnsi="Times New Roman" w:cs="Times New Roman"/>
                      <w:sz w:val="16"/>
                      <w:szCs w:val="16"/>
                    </w:rPr>
                    <w:t>Автобензины, тыс. тонн</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570,0</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2 401,0</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3 741,0</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3 741,0</w:t>
                  </w:r>
                </w:p>
              </w:tc>
            </w:tr>
            <w:tr w:rsidR="00D423B2" w:rsidRPr="00D423B2" w:rsidTr="00CC018C">
              <w:trPr>
                <w:trHeight w:val="214"/>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ОАО "ТАИФ-НК"</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570,0</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680,0</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680,0</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680,0</w:t>
                  </w:r>
                </w:p>
              </w:tc>
            </w:tr>
            <w:tr w:rsidR="00D423B2" w:rsidRPr="00D423B2" w:rsidTr="00CC018C">
              <w:trPr>
                <w:trHeight w:val="214"/>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Комплекс "ТАНЕКО"</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1 721,0</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3 061,0</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3 061,0</w:t>
                  </w:r>
                </w:p>
              </w:tc>
            </w:tr>
            <w:tr w:rsidR="00D423B2" w:rsidRPr="00D423B2" w:rsidTr="00CC018C">
              <w:trPr>
                <w:trHeight w:val="214"/>
              </w:trPr>
              <w:tc>
                <w:tcPr>
                  <w:tcW w:w="2289" w:type="dxa"/>
                </w:tcPr>
                <w:p w:rsidR="00CC018C" w:rsidRPr="00D423B2" w:rsidRDefault="00CC018C" w:rsidP="00CC018C">
                  <w:pPr>
                    <w:pStyle w:val="ConsPlusNormal"/>
                    <w:rPr>
                      <w:rFonts w:ascii="Times New Roman" w:hAnsi="Times New Roman" w:cs="Times New Roman"/>
                      <w:sz w:val="16"/>
                      <w:szCs w:val="16"/>
                    </w:rPr>
                  </w:pPr>
                  <w:r w:rsidRPr="00D423B2">
                    <w:rPr>
                      <w:rFonts w:ascii="Times New Roman" w:hAnsi="Times New Roman" w:cs="Times New Roman"/>
                      <w:sz w:val="16"/>
                      <w:szCs w:val="16"/>
                    </w:rPr>
                    <w:t>Дизельное топливо, тыс. тонн</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3 675,5</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6 790,6</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10 873,6</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10 873,6</w:t>
                  </w:r>
                </w:p>
              </w:tc>
            </w:tr>
            <w:tr w:rsidR="00D423B2" w:rsidRPr="00D423B2" w:rsidTr="00CC018C">
              <w:trPr>
                <w:trHeight w:val="214"/>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ОАО "ТАИФ-НК"</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2 325,6</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4 039,6</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4 039,6</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4 039,6</w:t>
                  </w:r>
                </w:p>
              </w:tc>
            </w:tr>
            <w:tr w:rsidR="00D423B2" w:rsidRPr="00D423B2" w:rsidTr="00CC018C">
              <w:trPr>
                <w:trHeight w:val="226"/>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Комплекс "ТАНЕКО"</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1 350,9</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2 751,0</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6 834,0</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6 834,0</w:t>
                  </w:r>
                </w:p>
              </w:tc>
            </w:tr>
            <w:tr w:rsidR="00D423B2" w:rsidRPr="00D423B2" w:rsidTr="00CC018C">
              <w:trPr>
                <w:trHeight w:val="214"/>
              </w:trPr>
              <w:tc>
                <w:tcPr>
                  <w:tcW w:w="2289" w:type="dxa"/>
                </w:tcPr>
                <w:p w:rsidR="00CC018C" w:rsidRPr="00D423B2" w:rsidRDefault="00CC018C" w:rsidP="00CC018C">
                  <w:pPr>
                    <w:pStyle w:val="ConsPlusNormal"/>
                    <w:rPr>
                      <w:rFonts w:ascii="Times New Roman" w:hAnsi="Times New Roman" w:cs="Times New Roman"/>
                      <w:sz w:val="16"/>
                      <w:szCs w:val="16"/>
                    </w:rPr>
                  </w:pPr>
                  <w:r w:rsidRPr="00D423B2">
                    <w:rPr>
                      <w:rFonts w:ascii="Times New Roman" w:hAnsi="Times New Roman" w:cs="Times New Roman"/>
                      <w:sz w:val="16"/>
                      <w:szCs w:val="16"/>
                    </w:rPr>
                    <w:t>Керосин/авиакеросин, тыс. тонн</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893,0</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1 569,9</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1 781,9</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1 781,9</w:t>
                  </w:r>
                </w:p>
              </w:tc>
            </w:tr>
            <w:tr w:rsidR="00D423B2" w:rsidRPr="00D423B2" w:rsidTr="00CC018C">
              <w:trPr>
                <w:trHeight w:val="214"/>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ОАО "ТАИФ-НК"</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404,0</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628,9</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628,9</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628,9</w:t>
                  </w:r>
                </w:p>
              </w:tc>
            </w:tr>
            <w:tr w:rsidR="00D423B2" w:rsidRPr="00D423B2" w:rsidTr="00CC018C">
              <w:trPr>
                <w:trHeight w:val="214"/>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Комплекс "ТАНЕКО"</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489,0</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941,0</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1 153,0</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1 153,0</w:t>
                  </w:r>
                </w:p>
              </w:tc>
            </w:tr>
            <w:tr w:rsidR="00D423B2" w:rsidRPr="00D423B2" w:rsidTr="00CC018C">
              <w:trPr>
                <w:trHeight w:val="214"/>
              </w:trPr>
              <w:tc>
                <w:tcPr>
                  <w:tcW w:w="2289" w:type="dxa"/>
                </w:tcPr>
                <w:p w:rsidR="00CC018C" w:rsidRPr="00D423B2" w:rsidRDefault="00CC018C" w:rsidP="00CC018C">
                  <w:pPr>
                    <w:pStyle w:val="ConsPlusNormal"/>
                    <w:rPr>
                      <w:rFonts w:ascii="Times New Roman" w:hAnsi="Times New Roman" w:cs="Times New Roman"/>
                      <w:sz w:val="16"/>
                      <w:szCs w:val="16"/>
                    </w:rPr>
                  </w:pPr>
                  <w:r w:rsidRPr="00D423B2">
                    <w:rPr>
                      <w:rFonts w:ascii="Times New Roman" w:hAnsi="Times New Roman" w:cs="Times New Roman"/>
                      <w:sz w:val="16"/>
                      <w:szCs w:val="16"/>
                    </w:rPr>
                    <w:t>Мазут, тыс. тонн</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3 893,7</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2 047,2</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1 541,0</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w:t>
                  </w:r>
                </w:p>
              </w:tc>
            </w:tr>
            <w:tr w:rsidR="00D423B2" w:rsidRPr="00D423B2" w:rsidTr="00CC018C">
              <w:trPr>
                <w:trHeight w:val="226"/>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ОАО "ТАИФ-НК"</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1 973,0</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w:t>
                  </w:r>
                </w:p>
              </w:tc>
            </w:tr>
            <w:tr w:rsidR="00D423B2" w:rsidRPr="00D423B2" w:rsidTr="00CC018C">
              <w:trPr>
                <w:trHeight w:val="214"/>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Комплекс "ТАНЕКО"</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1 920,7</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2 047,2</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1 541,0</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w:t>
                  </w:r>
                </w:p>
              </w:tc>
            </w:tr>
            <w:tr w:rsidR="00D423B2" w:rsidRPr="00D423B2" w:rsidTr="00CC018C">
              <w:trPr>
                <w:trHeight w:val="214"/>
              </w:trPr>
              <w:tc>
                <w:tcPr>
                  <w:tcW w:w="2289" w:type="dxa"/>
                </w:tcPr>
                <w:p w:rsidR="00CC018C" w:rsidRPr="00D423B2" w:rsidRDefault="00CC018C" w:rsidP="00CC018C">
                  <w:pPr>
                    <w:pStyle w:val="ConsPlusNormal"/>
                    <w:rPr>
                      <w:rFonts w:ascii="Times New Roman" w:hAnsi="Times New Roman" w:cs="Times New Roman"/>
                      <w:sz w:val="16"/>
                      <w:szCs w:val="16"/>
                    </w:rPr>
                  </w:pPr>
                  <w:r w:rsidRPr="00D423B2">
                    <w:rPr>
                      <w:rFonts w:ascii="Times New Roman" w:hAnsi="Times New Roman" w:cs="Times New Roman"/>
                      <w:sz w:val="16"/>
                      <w:szCs w:val="16"/>
                    </w:rPr>
                    <w:t>Сера, тыс. тонн</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102,0</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291,6</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374,6</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374,6</w:t>
                  </w:r>
                </w:p>
              </w:tc>
            </w:tr>
            <w:tr w:rsidR="00D423B2" w:rsidRPr="00D423B2" w:rsidTr="00CC018C">
              <w:trPr>
                <w:trHeight w:val="226"/>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ОАО "ТАИФ-НК"</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44,9</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126,6</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126,6</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126,6</w:t>
                  </w:r>
                </w:p>
              </w:tc>
            </w:tr>
            <w:tr w:rsidR="00D423B2" w:rsidRPr="00D423B2" w:rsidTr="00CC018C">
              <w:trPr>
                <w:trHeight w:val="9"/>
              </w:trPr>
              <w:tc>
                <w:tcPr>
                  <w:tcW w:w="2289" w:type="dxa"/>
                </w:tcPr>
                <w:p w:rsidR="00CC018C" w:rsidRPr="00D423B2" w:rsidRDefault="00CC018C" w:rsidP="00CC018C">
                  <w:pPr>
                    <w:pStyle w:val="ConsPlusNormal"/>
                    <w:ind w:firstLine="283"/>
                    <w:jc w:val="both"/>
                    <w:rPr>
                      <w:rFonts w:ascii="Times New Roman" w:hAnsi="Times New Roman" w:cs="Times New Roman"/>
                      <w:sz w:val="16"/>
                      <w:szCs w:val="16"/>
                    </w:rPr>
                  </w:pPr>
                  <w:r w:rsidRPr="00D423B2">
                    <w:rPr>
                      <w:rFonts w:ascii="Times New Roman" w:hAnsi="Times New Roman" w:cs="Times New Roman"/>
                      <w:sz w:val="16"/>
                      <w:szCs w:val="16"/>
                    </w:rPr>
                    <w:t>Комплекс "ТАНЕКО"</w:t>
                  </w:r>
                </w:p>
              </w:tc>
              <w:tc>
                <w:tcPr>
                  <w:tcW w:w="65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57,1</w:t>
                  </w:r>
                </w:p>
              </w:tc>
              <w:tc>
                <w:tcPr>
                  <w:tcW w:w="736"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165,0</w:t>
                  </w:r>
                </w:p>
              </w:tc>
              <w:tc>
                <w:tcPr>
                  <w:tcW w:w="731"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248,0</w:t>
                  </w:r>
                </w:p>
              </w:tc>
              <w:tc>
                <w:tcPr>
                  <w:tcW w:w="743" w:type="dxa"/>
                </w:tcPr>
                <w:p w:rsidR="00CC018C" w:rsidRPr="00D423B2" w:rsidRDefault="00CC018C" w:rsidP="00CC018C">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248,0</w:t>
                  </w:r>
                </w:p>
              </w:tc>
            </w:tr>
          </w:tbl>
          <w:p w:rsidR="00CC018C" w:rsidRPr="00D423B2" w:rsidRDefault="00775C96" w:rsidP="00775C96">
            <w:pPr>
              <w:pStyle w:val="ConsPlusNormal"/>
              <w:rPr>
                <w:rFonts w:ascii="Times New Roman" w:hAnsi="Times New Roman" w:cs="Times New Roman"/>
                <w:i/>
                <w:sz w:val="16"/>
                <w:szCs w:val="16"/>
              </w:rPr>
            </w:pPr>
            <w:r w:rsidRPr="00D423B2">
              <w:rPr>
                <w:rFonts w:ascii="Times New Roman" w:hAnsi="Times New Roman" w:cs="Times New Roman"/>
                <w:i/>
                <w:sz w:val="16"/>
                <w:szCs w:val="16"/>
              </w:rPr>
              <w:t>По прогнозным данным предприятий отрасли</w:t>
            </w:r>
          </w:p>
          <w:p w:rsidR="00276C64" w:rsidRPr="00D423B2" w:rsidRDefault="00276C64" w:rsidP="00A41136">
            <w:pPr>
              <w:widowControl w:val="0"/>
              <w:autoSpaceDE w:val="0"/>
              <w:autoSpaceDN w:val="0"/>
              <w:jc w:val="center"/>
              <w:rPr>
                <w:rFonts w:ascii="Times New Roman" w:eastAsia="Times New Roman" w:hAnsi="Times New Roman" w:cs="Times New Roman"/>
                <w:sz w:val="24"/>
                <w:szCs w:val="24"/>
                <w:lang w:eastAsia="ru-RU"/>
              </w:rPr>
            </w:pPr>
          </w:p>
          <w:p w:rsidR="007D5786" w:rsidRPr="00D423B2" w:rsidRDefault="007D5786" w:rsidP="00A41136">
            <w:pPr>
              <w:widowControl w:val="0"/>
              <w:autoSpaceDE w:val="0"/>
              <w:autoSpaceDN w:val="0"/>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3.7. Газовая отрасль</w:t>
            </w:r>
          </w:p>
          <w:p w:rsidR="00DE188C" w:rsidRPr="00D423B2" w:rsidRDefault="00DE188C" w:rsidP="00A41136">
            <w:pPr>
              <w:widowControl w:val="0"/>
              <w:autoSpaceDE w:val="0"/>
              <w:autoSpaceDN w:val="0"/>
              <w:jc w:val="center"/>
              <w:rPr>
                <w:rFonts w:ascii="Times New Roman" w:eastAsia="Times New Roman" w:hAnsi="Times New Roman" w:cs="Times New Roman"/>
                <w:b/>
                <w:sz w:val="24"/>
                <w:szCs w:val="24"/>
                <w:lang w:eastAsia="ru-RU"/>
              </w:rPr>
            </w:pPr>
          </w:p>
          <w:p w:rsidR="007D5786" w:rsidRPr="00D423B2" w:rsidRDefault="00DE188C" w:rsidP="00A41136">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3.7.1. Потребление природного газа в Республике Татарстан</w:t>
            </w:r>
          </w:p>
          <w:p w:rsidR="007D5786" w:rsidRPr="00D423B2" w:rsidRDefault="007D5786" w:rsidP="00A41136">
            <w:pPr>
              <w:widowControl w:val="0"/>
              <w:autoSpaceDE w:val="0"/>
              <w:autoSpaceDN w:val="0"/>
              <w:jc w:val="center"/>
              <w:rPr>
                <w:rFonts w:ascii="Times New Roman" w:eastAsia="Times New Roman" w:hAnsi="Times New Roman" w:cs="Times New Roman"/>
                <w:sz w:val="24"/>
                <w:szCs w:val="24"/>
                <w:lang w:eastAsia="ru-RU"/>
              </w:rPr>
            </w:pP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Республика Татарстан является одним из крупнейших потребителей природного газа в Поволжском регионе России. Природный газ в основном обеспечивает потребность Татарстана в первичных энергоресурсах. Многолетнее стабильное сотрудничество с ОАО "Газпром" по вопросам поставки природного газа потребителям Республики Татарстан позволяет обеспечить эффективное и динамичное социально-экономическое развитие республики.</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Основными предприятиями газовой отрасли республики являются ЗАО "Газпром межрегионгаз Казань" - специализированная региональная организация по реализации газа, ООО "Газпром трансгаз Казань" - региональная газораспределительная организация и ООО "Газпром сжиженный газ", осуществляющее хранение, оптовую и розничную реализацию сжиженных углеводородных газов.</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Принимая во внимание значительные объемы потребления природного газа, постоянный рост цен на него, увеличение числа участников газового рынка, в Республике Татарстан придается большое значение проблемам эффективного использования природного газа.</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рамках сформированной в Республике Татарстан законодательной базы в области энергосбережения и энергоресурсоэффективности накоплен большой опыт по обеспечению рационального и эффективного газопотребления.</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республике на постоянной основе проводится работа по совершенствованию системы учета и контроля за поставками и потреблением природного газа. В целях создания условий для обеспечения высокой точности учета потребления природного газа в 2008 году было подписано Соглашение о сотрудничестве между ОАО "Газпром", Федеральным агентством по техническому регулированию и метрологии и Кабинетом Министров Республики Татарстан по совершенствованию эталонной и испытательной базы средств измерений расхода и количества природного газа, сжиженного природного газа и газового конденсата.</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Благодаря принимаемым мерам по обеспечению рационального использования газа при стабильно высокой динамике темпов экономического роста в промышленности и энергетике среднегодовое потребление газа в республике за период с 2000 по 2013 год сохраняется на уровне не более 14,5 млрд куб. метров.</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Основной объем потребления газа приходится на энергетику и жилищно-коммунальное хозяйство - 69,1 процента внутриреспубликанского потребления по итогам 2013 года. За период с 2000 по 2013 год объемы потребления в энергетике и жилищно-коммунальном хозяйстве снизились на 3,6 процента.</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Высокая доля газа в балансе топливно-энергетических ресурсов, потребляемых в энергетике, определяется его ценовыми, топливными и экологическими преимуществами по сравнению с другими энергоносителями. Так, доля природного газа в топливных балансах крупнейших республиканских энергетических компаний (ОАО "Генерирующая компания", ОАО "ТГК-16", ОАО "Нижнекамская ТЭЦ", ЗАО "ТГК Уруссинская ГРЭС") составляет 99 процентов.</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Доля населения в потреблении газа за период с 2000 года сохранилась практически на постоянном уровне: 13,7 процента в 2000 году и 13,1 процента в 2013 году.</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Потребление бюджетными организациями было снижено в 3,3 раза к 2013 году по сравнению с 2000 годом. Соответствующим образом изменился и удельный вес этой группы в общем объеме потребления - с 2,2 до 0,7 процента.</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то же время для промышленного комплекса, который все это время обеспечивал стабильно высокие темпы роста производства, была характерна заметная положительная динамика газопотребления - рост в 1,4 раза к 2013 году по сравнению с 2000 годом. Доля промышленного газопотребления в общереспубликанском объеме за указанный период возросла с 12 до 17 процентов.</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Следствием позитивной динамики социально-экономического развития Республики Татарстан является возникновение дополнительной потребности в природном газе как для обеспечения населения, жилищно-коммунального и социального комплексов, так и для реализации стратегических проектов в промышленности.</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 этом тенденция опережающего роста промышленного газопотребления в прогнозируемом периоде до 2030 года сохранится.</w:t>
            </w:r>
          </w:p>
          <w:p w:rsidR="00B5145E" w:rsidRPr="00D423B2" w:rsidRDefault="00B5145E" w:rsidP="00B5145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Природный газ является ценнейшим сырьем для нефтегазохимической промышленности, развитие которой может дать мощный импульс как экономике Республики Татарстан, так и экономике Российской Федерации в целом.</w:t>
            </w:r>
          </w:p>
          <w:p w:rsidR="00CF6801" w:rsidRPr="00D423B2" w:rsidRDefault="00CF6801" w:rsidP="00B5145E">
            <w:pPr>
              <w:pStyle w:val="ConsPlusNormal"/>
              <w:ind w:firstLine="540"/>
              <w:jc w:val="both"/>
              <w:rPr>
                <w:rFonts w:ascii="Times New Roman" w:hAnsi="Times New Roman" w:cs="Times New Roman"/>
                <w:sz w:val="24"/>
                <w:szCs w:val="24"/>
              </w:rPr>
            </w:pPr>
          </w:p>
          <w:p w:rsidR="00DE188C" w:rsidRPr="00D423B2" w:rsidRDefault="00CF6801" w:rsidP="00A41136">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4BC2825F" wp14:editId="00104C75">
                  <wp:extent cx="2074103" cy="1190625"/>
                  <wp:effectExtent l="0" t="0" r="254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95483" cy="1202898"/>
                          </a:xfrm>
                          <a:prstGeom prst="rect">
                            <a:avLst/>
                          </a:prstGeom>
                          <a:noFill/>
                        </pic:spPr>
                      </pic:pic>
                    </a:graphicData>
                  </a:graphic>
                </wp:inline>
              </w:drawing>
            </w:r>
          </w:p>
          <w:p w:rsidR="009224A6" w:rsidRPr="00D423B2" w:rsidRDefault="009224A6" w:rsidP="00A41136">
            <w:pPr>
              <w:widowControl w:val="0"/>
              <w:autoSpaceDE w:val="0"/>
              <w:autoSpaceDN w:val="0"/>
              <w:jc w:val="center"/>
              <w:rPr>
                <w:rFonts w:ascii="Times New Roman" w:eastAsia="Times New Roman" w:hAnsi="Times New Roman" w:cs="Times New Roman"/>
                <w:sz w:val="24"/>
                <w:szCs w:val="24"/>
                <w:lang w:eastAsia="ru-RU"/>
              </w:rPr>
            </w:pPr>
          </w:p>
          <w:p w:rsidR="00D046B0" w:rsidRPr="00D423B2" w:rsidRDefault="00D046B0" w:rsidP="00D046B0">
            <w:pPr>
              <w:pStyle w:val="ConsPlusNormal"/>
              <w:ind w:firstLine="540"/>
              <w:jc w:val="center"/>
              <w:rPr>
                <w:rFonts w:ascii="Times New Roman" w:hAnsi="Times New Roman" w:cs="Times New Roman"/>
                <w:sz w:val="18"/>
                <w:szCs w:val="18"/>
              </w:rPr>
            </w:pPr>
            <w:r w:rsidRPr="00D423B2">
              <w:rPr>
                <w:rFonts w:ascii="Times New Roman" w:hAnsi="Times New Roman" w:cs="Times New Roman"/>
                <w:sz w:val="18"/>
                <w:szCs w:val="18"/>
              </w:rPr>
              <w:t>Рис. 12. Динамика и прогноз потребления природного газа</w:t>
            </w:r>
          </w:p>
          <w:p w:rsidR="009224A6" w:rsidRPr="00D423B2" w:rsidRDefault="00D046B0" w:rsidP="00D046B0">
            <w:pPr>
              <w:widowControl w:val="0"/>
              <w:autoSpaceDE w:val="0"/>
              <w:autoSpaceDN w:val="0"/>
              <w:jc w:val="center"/>
              <w:rPr>
                <w:rFonts w:ascii="Times New Roman" w:eastAsia="Times New Roman" w:hAnsi="Times New Roman" w:cs="Times New Roman"/>
                <w:sz w:val="18"/>
                <w:szCs w:val="18"/>
                <w:lang w:eastAsia="ru-RU"/>
              </w:rPr>
            </w:pPr>
            <w:r w:rsidRPr="00D423B2">
              <w:rPr>
                <w:rFonts w:ascii="Times New Roman" w:hAnsi="Times New Roman" w:cs="Times New Roman"/>
                <w:sz w:val="18"/>
                <w:szCs w:val="18"/>
              </w:rPr>
              <w:t>в Республике Татарстан</w:t>
            </w:r>
          </w:p>
          <w:p w:rsidR="007D5786" w:rsidRPr="00D423B2" w:rsidRDefault="007D5786" w:rsidP="00A41136">
            <w:pPr>
              <w:widowControl w:val="0"/>
              <w:autoSpaceDE w:val="0"/>
              <w:autoSpaceDN w:val="0"/>
              <w:jc w:val="center"/>
              <w:rPr>
                <w:rFonts w:ascii="Times New Roman" w:eastAsia="Times New Roman" w:hAnsi="Times New Roman" w:cs="Times New Roman"/>
                <w:sz w:val="18"/>
                <w:szCs w:val="18"/>
                <w:lang w:eastAsia="ru-RU"/>
              </w:rPr>
            </w:pPr>
          </w:p>
          <w:p w:rsidR="00ED2566" w:rsidRPr="00D423B2" w:rsidRDefault="00ED2566" w:rsidP="00ED256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Переориентация использования газа с топливных на сырьевые цели обеспечит рост производства с более высокой добавленной стоимостью, позволит пополнить доходы республиканского бюджета, создать дополнительные рабочие места.</w:t>
            </w:r>
          </w:p>
          <w:p w:rsidR="00ED2566" w:rsidRPr="00D423B2" w:rsidRDefault="00ED2566" w:rsidP="00ED256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Во исполнение задач по формированию основ национальной конкурентоспособности, преодолению зависимости от сырьевого экспорта и созданию новых эффективных предприятий в Нижнекамском промышленном узле Республики Татарстан, включающем в себя Нижнекамский, Альметьевский, Менделеевский промышленные районы, г. Набережные Челны и Особую экономическую зону промышленно-производственного типа "Алабуга", осуществляются масштабные проекты, направленные на совершенствование процессов добычи и переработки углеводородного сырья.</w:t>
            </w:r>
          </w:p>
          <w:p w:rsidR="00ED2566" w:rsidRPr="00D423B2" w:rsidRDefault="00ED2566" w:rsidP="00ED256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К указанным проектам относятся проекты строительства Комплекса по производству аммиака, метанола и гранулированного карбамида в г. Менделеевске; Комплекса глубокой переработки тяжелых остатков нефтеперерабатывающего завода ОАО "ТАИФ-НК"; Комплекса "ТАНЕКО"; разработка Ашальчинского нефтебитумного месторождения с использованием новых тепловых методов извлечения.</w:t>
            </w:r>
          </w:p>
          <w:p w:rsidR="00ED2566" w:rsidRPr="00D423B2" w:rsidRDefault="00ED2566" w:rsidP="00ED256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Одновременно с ростом промышленного потребления газа будет увеличиваться и потребность энергетического комплекса республики в природном газе для обеспечения надежного энергоснабжения новых потребителей.</w:t>
            </w:r>
          </w:p>
          <w:p w:rsidR="00ED2566" w:rsidRPr="00D423B2" w:rsidRDefault="00ED2566" w:rsidP="00ED256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Если с учетом заявленных предприятиями республики проектов строительства новых и модернизации действующих производственных мощностей потребление природного газа в промышленности может увеличиться в 3,3 раза, то для электроэнергетики и коммунальной сферы, населения и бюджетных организаций рост газопотребления в 2030 году не превысит 30 процентов к уровню 2013 года.</w:t>
            </w:r>
          </w:p>
          <w:p w:rsidR="00ED2566" w:rsidRPr="00D423B2" w:rsidRDefault="00ED2566" w:rsidP="00ED256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общей сложности прогнозируется рост газопотребления в республике в 1,6 раза к 2030 году по сравнению с 2013 годом.</w:t>
            </w:r>
          </w:p>
          <w:p w:rsidR="00D93F6E" w:rsidRPr="00D423B2" w:rsidRDefault="00D93F6E" w:rsidP="00A41136">
            <w:pPr>
              <w:widowControl w:val="0"/>
              <w:autoSpaceDE w:val="0"/>
              <w:autoSpaceDN w:val="0"/>
              <w:jc w:val="center"/>
              <w:rPr>
                <w:rFonts w:ascii="Times New Roman" w:eastAsia="Times New Roman" w:hAnsi="Times New Roman" w:cs="Times New Roman"/>
                <w:sz w:val="24"/>
                <w:szCs w:val="24"/>
                <w:lang w:eastAsia="ru-RU"/>
              </w:rPr>
            </w:pPr>
          </w:p>
          <w:p w:rsidR="007D5786" w:rsidRPr="00D423B2" w:rsidRDefault="00DD1342" w:rsidP="00DD1342">
            <w:pPr>
              <w:widowControl w:val="0"/>
              <w:autoSpaceDE w:val="0"/>
              <w:autoSpaceDN w:val="0"/>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         </w:t>
            </w:r>
            <w:r w:rsidR="00D93F6E" w:rsidRPr="00D423B2">
              <w:rPr>
                <w:rFonts w:ascii="Times New Roman" w:eastAsia="Times New Roman" w:hAnsi="Times New Roman" w:cs="Times New Roman"/>
                <w:sz w:val="24"/>
                <w:szCs w:val="24"/>
                <w:lang w:eastAsia="ru-RU"/>
              </w:rPr>
              <w:t>3.7.2. Газификация Республики Татарстан</w:t>
            </w:r>
          </w:p>
          <w:p w:rsidR="00DD1342" w:rsidRPr="00D423B2" w:rsidRDefault="00DD1342" w:rsidP="00DD1342">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 показателям газификации Республика Татарстан занимает лидирующее положение среди регионов России. Уровень газификации Республики Татарстан достигает 99 процентов, при этом характерной особенностью Татарстана является то, что высокие показатели газификации обеспечены в равной степени для городов и сельских населенных пунктов. Общее количество газифицированных квартир и индивидуальных жилых домов достигает 1,39 миллиона. В среднем в республике ежегодно газифицируется 19 тыс. квартир (рисунок 13).</w:t>
            </w:r>
          </w:p>
          <w:p w:rsidR="004B191F" w:rsidRPr="00D423B2" w:rsidRDefault="004B191F" w:rsidP="00DD1342">
            <w:pPr>
              <w:pStyle w:val="ConsPlusNormal"/>
              <w:ind w:firstLine="540"/>
              <w:jc w:val="both"/>
              <w:rPr>
                <w:rFonts w:ascii="Times New Roman" w:hAnsi="Times New Roman" w:cs="Times New Roman"/>
                <w:sz w:val="24"/>
                <w:szCs w:val="24"/>
              </w:rPr>
            </w:pPr>
          </w:p>
          <w:p w:rsidR="004B191F" w:rsidRPr="00D423B2" w:rsidRDefault="005B7EFC" w:rsidP="005B7EFC">
            <w:pPr>
              <w:pStyle w:val="ConsPlusNormal"/>
              <w:ind w:firstLine="540"/>
              <w:jc w:val="center"/>
              <w:rPr>
                <w:rFonts w:ascii="Times New Roman" w:hAnsi="Times New Roman" w:cs="Times New Roman"/>
                <w:sz w:val="24"/>
                <w:szCs w:val="24"/>
              </w:rPr>
            </w:pPr>
            <w:r w:rsidRPr="00D423B2">
              <w:rPr>
                <w:rFonts w:ascii="Times New Roman" w:hAnsi="Times New Roman" w:cs="Times New Roman"/>
                <w:noProof/>
                <w:sz w:val="24"/>
                <w:szCs w:val="24"/>
              </w:rPr>
              <w:drawing>
                <wp:inline distT="0" distB="0" distL="0" distR="0" wp14:anchorId="0C51E518" wp14:editId="3CCE933A">
                  <wp:extent cx="2171065" cy="1420149"/>
                  <wp:effectExtent l="0" t="0" r="635" b="889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86110" cy="1429990"/>
                          </a:xfrm>
                          <a:prstGeom prst="rect">
                            <a:avLst/>
                          </a:prstGeom>
                          <a:noFill/>
                        </pic:spPr>
                      </pic:pic>
                    </a:graphicData>
                  </a:graphic>
                </wp:inline>
              </w:drawing>
            </w:r>
          </w:p>
          <w:p w:rsidR="005B7EFC" w:rsidRPr="00D423B2" w:rsidRDefault="005B7EFC" w:rsidP="005B7EFC">
            <w:pPr>
              <w:pStyle w:val="ConsPlusNormal"/>
              <w:ind w:firstLine="540"/>
              <w:jc w:val="center"/>
              <w:rPr>
                <w:rFonts w:ascii="Times New Roman" w:hAnsi="Times New Roman" w:cs="Times New Roman"/>
                <w:sz w:val="24"/>
                <w:szCs w:val="24"/>
              </w:rPr>
            </w:pPr>
          </w:p>
          <w:p w:rsidR="00EF3A95" w:rsidRPr="00D423B2" w:rsidRDefault="00EF3A95" w:rsidP="00EF3A95">
            <w:pPr>
              <w:pStyle w:val="ConsPlusNormal"/>
              <w:ind w:firstLine="540"/>
              <w:jc w:val="center"/>
              <w:rPr>
                <w:rFonts w:ascii="Times New Roman" w:hAnsi="Times New Roman" w:cs="Times New Roman"/>
                <w:sz w:val="18"/>
                <w:szCs w:val="18"/>
              </w:rPr>
            </w:pPr>
            <w:r w:rsidRPr="00D423B2">
              <w:rPr>
                <w:rFonts w:ascii="Times New Roman" w:hAnsi="Times New Roman" w:cs="Times New Roman"/>
                <w:sz w:val="18"/>
                <w:szCs w:val="18"/>
              </w:rPr>
              <w:t>Рис. 13. Уровень газификации Республики Татарстан и</w:t>
            </w:r>
          </w:p>
          <w:p w:rsidR="005B7EFC" w:rsidRPr="00D423B2" w:rsidRDefault="00EF3A95" w:rsidP="00EF3A95">
            <w:pPr>
              <w:pStyle w:val="ConsPlusNormal"/>
              <w:ind w:firstLine="540"/>
              <w:jc w:val="center"/>
              <w:rPr>
                <w:rFonts w:ascii="Times New Roman" w:hAnsi="Times New Roman" w:cs="Times New Roman"/>
                <w:sz w:val="18"/>
                <w:szCs w:val="18"/>
              </w:rPr>
            </w:pPr>
            <w:r w:rsidRPr="00D423B2">
              <w:rPr>
                <w:rFonts w:ascii="Times New Roman" w:hAnsi="Times New Roman" w:cs="Times New Roman"/>
                <w:sz w:val="18"/>
                <w:szCs w:val="18"/>
              </w:rPr>
              <w:t>количество газифицированных квартир</w:t>
            </w:r>
          </w:p>
          <w:p w:rsidR="00DD1342" w:rsidRPr="00D423B2" w:rsidRDefault="00DD1342" w:rsidP="00A41136">
            <w:pPr>
              <w:widowControl w:val="0"/>
              <w:autoSpaceDE w:val="0"/>
              <w:autoSpaceDN w:val="0"/>
              <w:jc w:val="center"/>
              <w:rPr>
                <w:rFonts w:ascii="Times New Roman" w:eastAsia="Times New Roman" w:hAnsi="Times New Roman" w:cs="Times New Roman"/>
                <w:sz w:val="24"/>
                <w:szCs w:val="24"/>
                <w:lang w:eastAsia="ru-RU"/>
              </w:rPr>
            </w:pPr>
          </w:p>
          <w:p w:rsidR="00454D32" w:rsidRPr="00D423B2" w:rsidRDefault="00454D32" w:rsidP="00454D32">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Для решения перспективных проблем, связанных с обеспечением социальной сферы, в республике проводится постоянная работа по газификации объектов социально-бытового назначения и жилищного фонда. Начиная с 2006 года основным источником финансирования работ по газификации Республики Татарстан является специальная надбавка к тарифу на услуги по транспортировке газа по газораспределительным сетям, устанавливаемая по согласованию с Федеральной службой по тарифам. Суммарный объем расходов по программам газификации, финансируемым за счет специальных надбавок к тарифу на услуги по транспортировке газа по газораспределительным сетям, за период с 2006 по 2014 год составляет 1748 млн рублей.</w:t>
            </w:r>
          </w:p>
          <w:p w:rsidR="000C700F" w:rsidRPr="00D423B2" w:rsidRDefault="000C700F" w:rsidP="000C70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Работы по развитию газификации будут продолжены с учетом строительства жилья и объектов социальной инфраструктуры, а также роста потребностей промышленных предприятий.</w:t>
            </w:r>
          </w:p>
          <w:p w:rsidR="000C700F" w:rsidRPr="00D423B2" w:rsidRDefault="000C700F" w:rsidP="000C70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газовом хозяйстве Республики Татарстан эксплуатируется 5,6 тыс. км магистральных газопроводов и газопроводов-отводов, а также 38,7 тыс. км распределительных газопроводов.</w:t>
            </w:r>
          </w:p>
          <w:p w:rsidR="000C700F" w:rsidRPr="00D423B2" w:rsidRDefault="000C700F" w:rsidP="000C70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Важнейшим направлением деятельности является содействие развитию газотранспортных мощностей для обеспечения природным газом масштабных инвестиционных проектов, реализуемых в республике.</w:t>
            </w:r>
          </w:p>
          <w:p w:rsidR="000C700F" w:rsidRPr="00D423B2" w:rsidRDefault="000C700F" w:rsidP="000C70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2014 году совместно с ОАО "Газпром промгаз" подготовлена Генеральная схема газоснабжения и газификации Республики Татарстан.</w:t>
            </w:r>
          </w:p>
          <w:p w:rsidR="000C700F" w:rsidRPr="00D423B2" w:rsidRDefault="000C700F" w:rsidP="000C70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Разработан Сценарный прогноз потребности в природном газе в Республике Татарстан с учетом возможной реализации региональных инвестиционных проектов на период до 2020 года. Проект строительства газотранспортных мощностей на территории Нижнекамского промышленного узла включен в инвестиционную программу ОАО "Газпром" с финансированием за счет ОАО "Газпром". Профильными структурами ОАО "Газпром" проводится предпроектная подготовка и выбор трассы прохождения газопровода.</w:t>
            </w:r>
          </w:p>
          <w:p w:rsidR="000C700F" w:rsidRPr="00D423B2" w:rsidRDefault="000C700F" w:rsidP="000C70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целях обеспечения надежного и бесперебойного газоснабжения Закамской зоны Республики Татарстан и г. Казани с учетом перспективного развития на период до 2030 года реализуется проект "Реконструкция газопровода Миннибаево - Казань на участке 220 - 285 км". Ввод в эксплуатацию этого газопровода позволит увеличить его пропускную способность с нынешних 2,3 до 5 млрд куб. метров в год. В 2012 - 2013 годах построено 72,2 км газопровода, три станции электрохимзащиты и узел замера газа. Работы продолжаются и в 2015 году.</w:t>
            </w:r>
          </w:p>
          <w:p w:rsidR="000C700F" w:rsidRPr="00D423B2" w:rsidRDefault="000C700F" w:rsidP="000C70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Проводится работа по строительству газовой инфраструктуры для инновационного центра "Иннополис" в рамках инвестиционной программы ОАО "Газпром".</w:t>
            </w:r>
          </w:p>
          <w:p w:rsidR="000C700F" w:rsidRPr="00D423B2" w:rsidRDefault="000C700F" w:rsidP="000C70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пропускная способность газотранспортной системы республики на ряде участков достигла своего максимума, что ограничивает подключение к ней новых потребителей.</w:t>
            </w:r>
          </w:p>
          <w:p w:rsidR="000C700F" w:rsidRPr="00D423B2" w:rsidRDefault="000C700F" w:rsidP="000C70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целях дальнейшего развития и совершенствования газотранспортной системы в Республике Татарстан ООО "Газпром трансгаз Казань" подготовлен приоритетный перечень объектов реконструкции и нового строительства магистральных газопроводов, газопроводов-отводов, газораспределительных станций на период до 2030 года.</w:t>
            </w:r>
          </w:p>
          <w:p w:rsidR="000C700F" w:rsidRPr="00D423B2" w:rsidRDefault="000C700F" w:rsidP="000C700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Строительство вышеперечисленных объектов позволит повысить мощность газотранспортной системы республики и обеспечить доступ к ней потенциальных потребителей.</w:t>
            </w:r>
          </w:p>
          <w:p w:rsidR="00177636" w:rsidRPr="00D423B2" w:rsidRDefault="00177636" w:rsidP="000C700F">
            <w:pPr>
              <w:pStyle w:val="ConsPlusNormal"/>
              <w:ind w:firstLine="540"/>
              <w:jc w:val="both"/>
              <w:rPr>
                <w:rFonts w:ascii="Times New Roman" w:hAnsi="Times New Roman" w:cs="Times New Roman"/>
                <w:b/>
                <w:sz w:val="24"/>
                <w:szCs w:val="24"/>
              </w:rPr>
            </w:pPr>
          </w:p>
          <w:p w:rsidR="00177636" w:rsidRPr="00D423B2" w:rsidRDefault="00177636" w:rsidP="00177636">
            <w:pPr>
              <w:pStyle w:val="ConsPlusNormal"/>
              <w:jc w:val="center"/>
              <w:rPr>
                <w:rFonts w:ascii="Times New Roman" w:hAnsi="Times New Roman" w:cs="Times New Roman"/>
                <w:sz w:val="24"/>
                <w:szCs w:val="24"/>
              </w:rPr>
            </w:pPr>
            <w:r w:rsidRPr="00D423B2">
              <w:rPr>
                <w:rFonts w:ascii="Times New Roman" w:hAnsi="Times New Roman" w:cs="Times New Roman"/>
                <w:sz w:val="24"/>
                <w:szCs w:val="24"/>
              </w:rPr>
              <w:t>3.7.3. Использование газомоторного топлива в Республике Татарстан</w:t>
            </w:r>
          </w:p>
          <w:p w:rsidR="00177636" w:rsidRPr="00D423B2" w:rsidRDefault="00177636" w:rsidP="00177636">
            <w:pPr>
              <w:pStyle w:val="ConsPlusNormal"/>
              <w:jc w:val="center"/>
              <w:rPr>
                <w:rFonts w:ascii="Times New Roman" w:hAnsi="Times New Roman" w:cs="Times New Roman"/>
                <w:sz w:val="24"/>
                <w:szCs w:val="24"/>
              </w:rPr>
            </w:pP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Основным потребителем газомоторного топлива в Республике Татарстан является автотранспортный комплекс республики.</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Использование газомоторного топлива автомобильным транспортом вместо традиционных нефтяных видов имеет особое значение для улучшения экологической обстановки в Республике Татарстан. Его применение также позволяет снизить стоимость транспортных услуг за счет более низкой по сравнению с традиционными видами топлива стоимости природного газа.</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Необходимым условием для расширения использования газомоторного топлива в транспортном комплексе является создание сети автогазозаправочных станций на территории республики.</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на территории Республики Татарстан расположены 11 автомобильных газонаполнительных компрессорных станций (далее - АГНКС), из них одна законсервирована. Среднегодовая загрузка АГНКС составляет 10 - 12 процентов от проектной мощности.</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Все АГНКС принадлежат ООО "Газпром трансгаз Казань".</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целях поддержки республиканских транспортных организаций ООО "Газпром трансгаз Казань" имеет возможность:</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обеспечивать бесперебойную круглосуточную заправку газобаллонного автотранспорта и передвижных автомобильных газовых заправщиков на действующих АГНКС;</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оказывать услуги на договорной основе по переоборудованию автотехники для работы на компримированном природном газе (далее - КПГ), по техническому обслуживанию и ремонту газобаллонного оборудования автомобилей, по переосвидетельствованию газовых баллонов, по подготовке водительского состава для работы на автомобилях, использующих в качестве топлива КПГ.</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Полная газификация Республики Татарстан позволяет разместить в каждом населенном пункте АГНКС, обеспечив тем самым автовладельцев экологически чистым и экономически выгодным моторным топливом - КПГ.</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Использование газобаллонной автотехники, в том числе пассажирских автобусов, работающих на газомоторном топливе, целесообразно при междугородных перевозках, где на начальных, промежуточных и конечных пунктах, а также на внутригородских маршрутах имеются АГНКС.</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целях создания условий для производства, реализации и использования природного газа в 2013 году подписано Соглашение между Правительством Республики Татарстан, ОАО "Газпром" и ООО "Газпром газомоторное топливо" о расширении использования природного газа в качестве моторного топлива.</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Республика Татарстан определена одним из пилотных регионов Российской Федерации по развитию рынка газомоторного топлива в России. В г. Казани открыт филиал ООО "Газпром газомоторное топливо" - организация, уполномоченная ОАО "Газпром" для участия в данной работе.</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 участии профильных исполнительных органов государственной власти Республики Татарстан, ООО "Газпром газомоторное топливо", ОАО "КАМАЗ" (производитель техники), ООО "РариТЭК" (официальный дилер, переоборудующий технику на использование метана), ОАО "Татнефтехиминвест-холдинг" готовятся совместные решения, направленные на развитие в республике рынка газомоторного топлива. Принята и реализуется соответствующая государственная программа Республики Татарстан.</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рамках данной программы уже в 2013 году (на первом этапе программы) предприятиями и организациями республики закуплено 1,1 тыс. штук автомобилей и средств спецтехники, работающих на газомоторном топливе, в планах на 2014 - 2018 годы (на втором этапе) - приобретение более 5 тысяч единиц автотранспортных средств, работающих на КПГ, строительство 31 АГНКС и 65 дочерних АГНКС.</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За период с 2019 по 2023 год (на третьем этапе) планируется приобретение 8,8 тыс. единиц автотранспортных средств, работающих на КПГ, строительство 29 АГНКС и 85 дочерних АГНКС.</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 этом разработка и производство широкого спектра газобаллонной автомобильной техники, работающей на метане (автобусов, коммунальной, строительной и специальной, сельскохозяйственной техники), обеспечиваются ОАО "КАМАЗ" и ООО "РариТЭК".</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 целью дальнейшего расширения использования природного газа в качестве моторного топлива в Республике Татарстан на территории Тюлячинского муниципального района в июне 2014 года начато строительство комплекса по производству, хранению и выдаче сжиженного природного газа мощностью 56 тыс. тонн в год с возможностью увеличения до 112 тыс. тонн в год. Применение сжиженного природного газа позволит при сохранении экономических и экологических преимуществ КПГ увеличить в три раза пробег автомобиля от одной заправки.</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Однако сдерживающим фактором расширения применения газомоторного топлива является отсутствие федеральной нормативной правовой базы, стимулирующей заинтересованность потребителей в его использовании.</w:t>
            </w:r>
          </w:p>
          <w:p w:rsidR="00EC1517" w:rsidRPr="00D423B2" w:rsidRDefault="00EC1517" w:rsidP="00EC151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Единственной мерой стимулирования использования газомоторного топлива в России до 2013 года является решение, принятое постановлением Правительства Российской Федерации, согласно которому предельная отпускная цена на КПГ установлена в размере не более 50 процентов от цены бензина марки АИ-76. А в связи с прекращением производства бензина марки АИ-76 Министерством энергетики Российской Федерации подготовлено решение об установлении предельного уровня отпускной цены на КПГ в размере не более 50 процентов от цены дизельного топлива (проект постановления Правительства Российской Федерации).</w:t>
            </w:r>
          </w:p>
          <w:p w:rsidR="00EC1517" w:rsidRPr="00D423B2" w:rsidRDefault="006F57A3" w:rsidP="00EC1517">
            <w:pPr>
              <w:pStyle w:val="ConsPlusNormal"/>
              <w:jc w:val="both"/>
              <w:rPr>
                <w:rFonts w:ascii="Times New Roman" w:hAnsi="Times New Roman" w:cs="Times New Roman"/>
                <w:sz w:val="24"/>
                <w:szCs w:val="24"/>
              </w:rPr>
            </w:pPr>
            <w:r w:rsidRPr="00D423B2">
              <w:rPr>
                <w:rFonts w:ascii="Times New Roman" w:hAnsi="Times New Roman" w:cs="Times New Roman"/>
                <w:sz w:val="24"/>
                <w:szCs w:val="24"/>
              </w:rPr>
              <w:t xml:space="preserve">        </w:t>
            </w:r>
            <w:r w:rsidR="00EC1517" w:rsidRPr="00D423B2">
              <w:rPr>
                <w:rFonts w:ascii="Times New Roman" w:hAnsi="Times New Roman" w:cs="Times New Roman"/>
                <w:sz w:val="24"/>
                <w:szCs w:val="24"/>
              </w:rPr>
              <w:t>В то же время для динамичного развития рынка газомоторного топлива в России необходимо дальнейшее развитие федерального законодательства, предусматривающего комплекс мер государственной поддержки. Прежде всего, это налоговые льготы для автопредприятий при переводе транспорта на газомоторное топливо, освобождение от платежей и пошлин, субсидирование закупок газомоторного топлива на федеральном уровне, стимулирование принятия целевых региональных программ. Широкое применение этого вида топлива приведет к снижению себестоимости автомобильных перевозок и, следовательно, будет способствовать ускорению экономического развития регионов и России в целом.</w:t>
            </w:r>
          </w:p>
          <w:p w:rsidR="006F57A3" w:rsidRPr="00D423B2" w:rsidRDefault="006F57A3" w:rsidP="00EC1517">
            <w:pPr>
              <w:pStyle w:val="ConsPlusNormal"/>
              <w:jc w:val="both"/>
              <w:rPr>
                <w:rFonts w:ascii="Times New Roman" w:hAnsi="Times New Roman" w:cs="Times New Roman"/>
                <w:sz w:val="24"/>
                <w:szCs w:val="24"/>
              </w:rPr>
            </w:pPr>
          </w:p>
          <w:p w:rsidR="006F57A3" w:rsidRPr="00D423B2" w:rsidRDefault="006F57A3" w:rsidP="00EC1517">
            <w:pPr>
              <w:pStyle w:val="ConsPlusNormal"/>
              <w:jc w:val="both"/>
              <w:rPr>
                <w:rFonts w:ascii="Times New Roman" w:hAnsi="Times New Roman" w:cs="Times New Roman"/>
                <w:sz w:val="24"/>
                <w:szCs w:val="24"/>
              </w:rPr>
            </w:pPr>
            <w:r w:rsidRPr="00D423B2">
              <w:rPr>
                <w:rFonts w:ascii="Times New Roman" w:hAnsi="Times New Roman" w:cs="Times New Roman"/>
                <w:sz w:val="24"/>
                <w:szCs w:val="24"/>
              </w:rPr>
              <w:t xml:space="preserve">        3.7.4. Строительство подземного хранилища газа в Республике Татарстан</w:t>
            </w:r>
          </w:p>
          <w:p w:rsidR="008B5B45" w:rsidRPr="00D423B2" w:rsidRDefault="008B5B45" w:rsidP="008B5B4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Подземные хранилища газа (далее - ПХГ) - неотъемлемая часть единой системы газоснабжения России. Они расположены в регионах основного потребления газа. Их использование позволяет регулировать сезонную неравномерность потребления газа, обеспечивать гибкость и надежность его поставок.</w:t>
            </w:r>
          </w:p>
          <w:p w:rsidR="008B5B45" w:rsidRPr="00D423B2" w:rsidRDefault="008B5B45" w:rsidP="008B5B4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отдельные периоды создаются экстремальные ситуации, связанные с недостатком природного газа. В первую очередь, дефицит газа возникает во время резкого падения температуры в течение отопительного периода. Чрезвычайные ситуации по газообеспечению могут возникнуть и при авариях на магистральных и распределительных газопроводах, расположенных как на территории Республики Татарстан, так и за ее пределами.</w:t>
            </w:r>
          </w:p>
          <w:p w:rsidR="008B5B45" w:rsidRPr="00D423B2" w:rsidRDefault="008B5B45" w:rsidP="008B5B4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соответствии с реализуемыми ОАО "Газпром" задачами развития газовой промышленности, направленными в том числе на стабильное, бесперебойное и экономически эффективное удовлетворение внутренних потребителей, начиная с 2005 года проводятся работы по созданию ПХГ на территории Республики Татарстан.</w:t>
            </w:r>
          </w:p>
          <w:p w:rsidR="008B5B45" w:rsidRPr="00D423B2" w:rsidRDefault="008B5B45" w:rsidP="008B5B4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Проект по строительству ПХГ в Республике Татарстан включен в инвестиционную программу ОАО "Газпром" по строительству, реконструкции и вводу объектов системы подземного хранения газа на территории Российской Федерации на 2012 - 2015 годы.</w:t>
            </w:r>
          </w:p>
          <w:p w:rsidR="008B5B45" w:rsidRPr="00D423B2" w:rsidRDefault="008B5B45" w:rsidP="008B5B4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После проведения комплекса необходимых изыскательских и геологоразведочных работ для строительства ПХГ выбрана площадка в Алексеевском районе у границы с Чистопольским районом (Арбузовское ПХГ). Месторасположение ПХГ в географическом центре республики обеспечивает оптимальную логистику транспортировки газа от хранилища в сторону г. Казани, а также к потребителям стремительно развивающегося Нижнекамского промышленного узла, где сосредоточены гиганты нефтегазохимической отрасли - ПАО "Нижнекамскнефтехим", ОАО "ТАИФ-НК", Комплекса "ТАНЕКО", ОАО "Нижнекамскшина" и др.</w:t>
            </w:r>
          </w:p>
          <w:p w:rsidR="00AE0F81" w:rsidRPr="00D423B2" w:rsidRDefault="00AE0F81" w:rsidP="00AE0F8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Проектная мощность республиканского ПХГ - более 1 млрд куб. метров, в 2015 году ведутся проектные работы по объекту. После проведения экспертиз в 2015 - 2016 годах начнется строительство ПХГ, к 2018 году ОАО "Газпром" планирует осуществить пробную закачку газа в пласт коллектора ПХГ.</w:t>
            </w:r>
          </w:p>
          <w:p w:rsidR="006F57A3" w:rsidRPr="00D423B2" w:rsidRDefault="00AE0F81" w:rsidP="00AE0F81">
            <w:pPr>
              <w:pStyle w:val="ConsPlusNormal"/>
              <w:jc w:val="both"/>
              <w:rPr>
                <w:rFonts w:ascii="Times New Roman" w:hAnsi="Times New Roman" w:cs="Times New Roman"/>
                <w:sz w:val="24"/>
                <w:szCs w:val="24"/>
              </w:rPr>
            </w:pPr>
            <w:r w:rsidRPr="00D423B2">
              <w:rPr>
                <w:rFonts w:ascii="Times New Roman" w:hAnsi="Times New Roman" w:cs="Times New Roman"/>
                <w:sz w:val="24"/>
                <w:szCs w:val="24"/>
              </w:rPr>
              <w:t>Реализация проекта по строительству ПХГ на территории республики позволит регулировать сезонную неравномерность потребления газа, а также обеспечивать гибкость и надежность его поставок.</w:t>
            </w:r>
          </w:p>
          <w:p w:rsidR="00191D8C" w:rsidRPr="00D423B2" w:rsidRDefault="00191D8C" w:rsidP="00AE0F81">
            <w:pPr>
              <w:pStyle w:val="ConsPlusNormal"/>
              <w:jc w:val="both"/>
              <w:rPr>
                <w:rFonts w:ascii="Times New Roman" w:hAnsi="Times New Roman" w:cs="Times New Roman"/>
                <w:sz w:val="24"/>
                <w:szCs w:val="24"/>
              </w:rPr>
            </w:pPr>
          </w:p>
          <w:p w:rsidR="00191D8C" w:rsidRPr="00D423B2" w:rsidRDefault="00191D8C" w:rsidP="00AE0F81">
            <w:pPr>
              <w:pStyle w:val="ConsPlusNormal"/>
              <w:jc w:val="both"/>
              <w:rPr>
                <w:rFonts w:ascii="Times New Roman" w:hAnsi="Times New Roman" w:cs="Times New Roman"/>
                <w:b/>
                <w:sz w:val="24"/>
                <w:szCs w:val="24"/>
              </w:rPr>
            </w:pPr>
            <w:r w:rsidRPr="00D423B2">
              <w:rPr>
                <w:rFonts w:ascii="Times New Roman" w:hAnsi="Times New Roman" w:cs="Times New Roman"/>
                <w:b/>
                <w:sz w:val="24"/>
                <w:szCs w:val="24"/>
              </w:rPr>
              <w:t>IV. Энергетическая отрасль Республики Татарстан</w:t>
            </w:r>
          </w:p>
          <w:p w:rsidR="00191D8C" w:rsidRPr="00D423B2" w:rsidRDefault="00191D8C" w:rsidP="00191D8C">
            <w:pPr>
              <w:jc w:val="center"/>
              <w:rPr>
                <w:rFonts w:ascii="Times New Roman" w:hAnsi="Times New Roman" w:cs="Times New Roman"/>
                <w:b/>
                <w:sz w:val="24"/>
                <w:szCs w:val="24"/>
              </w:rPr>
            </w:pPr>
          </w:p>
          <w:p w:rsidR="00191D8C" w:rsidRPr="00D423B2" w:rsidRDefault="00191D8C" w:rsidP="00191D8C">
            <w:pPr>
              <w:jc w:val="center"/>
              <w:rPr>
                <w:rFonts w:ascii="Times New Roman" w:hAnsi="Times New Roman" w:cs="Times New Roman"/>
                <w:b/>
                <w:sz w:val="24"/>
                <w:szCs w:val="24"/>
              </w:rPr>
            </w:pPr>
            <w:r w:rsidRPr="00D423B2">
              <w:rPr>
                <w:rFonts w:ascii="Times New Roman" w:hAnsi="Times New Roman" w:cs="Times New Roman"/>
                <w:b/>
                <w:sz w:val="24"/>
                <w:szCs w:val="24"/>
              </w:rPr>
              <w:t>4.1. Современное состояние энергетического комплекса Республики Татарстан</w:t>
            </w:r>
          </w:p>
          <w:p w:rsidR="005428E9" w:rsidRPr="00D423B2" w:rsidRDefault="005428E9" w:rsidP="00191D8C">
            <w:pPr>
              <w:jc w:val="center"/>
              <w:rPr>
                <w:rFonts w:ascii="Times New Roman" w:hAnsi="Times New Roman" w:cs="Times New Roman"/>
                <w:b/>
                <w:sz w:val="24"/>
                <w:szCs w:val="24"/>
              </w:rPr>
            </w:pPr>
          </w:p>
          <w:p w:rsidR="008C5C95" w:rsidRPr="00D423B2" w:rsidRDefault="008C5C95" w:rsidP="008C5C9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Энергосистема Республики Татарстан граничит с энергетическими системами Самарской, Кировской, Ульяновской, Оренбургской областей и республик Марий Эл, Чувашской, Удмуртской, Башкортостан.</w:t>
            </w:r>
          </w:p>
          <w:p w:rsidR="008C5C95" w:rsidRPr="00D423B2" w:rsidRDefault="008C5C95" w:rsidP="008C5C9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Энергосистема республики охватывает площадь 68 тыс. кв. км с населением 3,8 млн человек.</w:t>
            </w:r>
          </w:p>
          <w:p w:rsidR="008C5C95" w:rsidRPr="00D423B2" w:rsidRDefault="008C5C95" w:rsidP="008C5C9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энергосистеме Республики Татарстан в настоящее время функционируют четыре производителя электрической и тепловой энергии в режиме комбинированной выработки - ОАО "Генерирующая компания", ОАО "ТГК-16", ООО "Нижнекамская ТЭЦ" и ЗАО "ТГК Уруссинская ГРЭС".</w:t>
            </w:r>
          </w:p>
          <w:p w:rsidR="008C5C95" w:rsidRPr="00D423B2" w:rsidRDefault="008C5C95" w:rsidP="008C5C9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Все четыре компании имеют статус субъекта оптового рынка электрической энергии и мощности (далее - ОРЭМ) и допуск к его торговой системе. Поэтому от технического состояния оборудования станций, соответствия их современным требованиям энергоэффективности зависят конкурентоспособность вырабатываемой энергии и востребованность на ОРЭМ и розничном рынке электрической энергии.</w:t>
            </w:r>
          </w:p>
          <w:p w:rsidR="008C5C95" w:rsidRPr="00D423B2" w:rsidRDefault="008C5C95" w:rsidP="008C5C9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Установленная электрическая мощность энергосистемы на 1 января 2015 года составляет 7056 МВт, тепловая мощность - 15283 Гкал/час, в разрезе компаний информация представлена в таблице 14.</w:t>
            </w:r>
          </w:p>
          <w:p w:rsidR="005428E9" w:rsidRPr="00D423B2" w:rsidRDefault="005428E9" w:rsidP="00191D8C">
            <w:pPr>
              <w:jc w:val="center"/>
              <w:rPr>
                <w:rFonts w:ascii="Times New Roman" w:hAnsi="Times New Roman" w:cs="Times New Roman"/>
                <w:b/>
                <w:sz w:val="24"/>
                <w:szCs w:val="24"/>
              </w:rPr>
            </w:pPr>
          </w:p>
          <w:p w:rsidR="008C5C95" w:rsidRPr="00D423B2" w:rsidRDefault="008C5C95" w:rsidP="008C5C95">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14</w:t>
            </w:r>
          </w:p>
          <w:p w:rsidR="008C5C95" w:rsidRPr="00D423B2" w:rsidRDefault="008C5C95" w:rsidP="008C5C95">
            <w:pPr>
              <w:widowControl w:val="0"/>
              <w:autoSpaceDE w:val="0"/>
              <w:autoSpaceDN w:val="0"/>
              <w:jc w:val="center"/>
              <w:rPr>
                <w:rFonts w:ascii="Times New Roman" w:eastAsia="Times New Roman" w:hAnsi="Times New Roman" w:cs="Times New Roman"/>
                <w:sz w:val="24"/>
                <w:szCs w:val="24"/>
                <w:lang w:eastAsia="ru-RU"/>
              </w:rPr>
            </w:pPr>
          </w:p>
          <w:p w:rsidR="008C5C95" w:rsidRPr="00D423B2" w:rsidRDefault="008C5C95" w:rsidP="008C5C95">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Установленная электрическая и тепловая мощность компаний и станций энергосистемы Республики Татарстан</w:t>
            </w:r>
          </w:p>
          <w:p w:rsidR="00C357E3" w:rsidRPr="00D423B2" w:rsidRDefault="00C357E3" w:rsidP="008C5C95">
            <w:pPr>
              <w:widowControl w:val="0"/>
              <w:autoSpaceDE w:val="0"/>
              <w:autoSpaceDN w:val="0"/>
              <w:jc w:val="center"/>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419"/>
              <w:gridCol w:w="1462"/>
              <w:gridCol w:w="1254"/>
            </w:tblGrid>
            <w:tr w:rsidR="00D423B2" w:rsidRPr="00D423B2" w:rsidTr="009E6521">
              <w:trPr>
                <w:trHeight w:val="316"/>
              </w:trPr>
              <w:tc>
                <w:tcPr>
                  <w:tcW w:w="2419" w:type="dxa"/>
                  <w:vMerge w:val="restart"/>
                  <w:vAlign w:val="center"/>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Наименование электростанции</w:t>
                  </w:r>
                </w:p>
              </w:tc>
              <w:tc>
                <w:tcPr>
                  <w:tcW w:w="2716" w:type="dxa"/>
                  <w:gridSpan w:val="2"/>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Установленная мощность</w:t>
                  </w:r>
                </w:p>
              </w:tc>
            </w:tr>
            <w:tr w:rsidR="00D423B2" w:rsidRPr="00D423B2" w:rsidTr="009E6521">
              <w:trPr>
                <w:trHeight w:val="316"/>
              </w:trPr>
              <w:tc>
                <w:tcPr>
                  <w:tcW w:w="2419" w:type="dxa"/>
                  <w:vMerge/>
                </w:tcPr>
                <w:p w:rsidR="00C357E3" w:rsidRPr="00D423B2" w:rsidRDefault="00C357E3" w:rsidP="00C357E3">
                  <w:pPr>
                    <w:rPr>
                      <w:rFonts w:ascii="Times New Roman" w:hAnsi="Times New Roman" w:cs="Times New Roman"/>
                      <w:sz w:val="16"/>
                      <w:szCs w:val="16"/>
                    </w:rPr>
                  </w:pP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электрическая, МВт</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тепловая, Гкал/час</w:t>
                  </w:r>
                </w:p>
              </w:tc>
            </w:tr>
            <w:tr w:rsidR="00D423B2" w:rsidRPr="00D423B2" w:rsidTr="009E6521">
              <w:trPr>
                <w:trHeight w:val="240"/>
              </w:trPr>
              <w:tc>
                <w:tcPr>
                  <w:tcW w:w="2419" w:type="dxa"/>
                </w:tcPr>
                <w:p w:rsidR="00C357E3" w:rsidRPr="00D423B2" w:rsidRDefault="00C357E3" w:rsidP="00C357E3">
                  <w:pPr>
                    <w:pStyle w:val="ConsPlusNormal"/>
                    <w:rPr>
                      <w:rFonts w:ascii="Times New Roman" w:hAnsi="Times New Roman" w:cs="Times New Roman"/>
                      <w:sz w:val="16"/>
                      <w:szCs w:val="16"/>
                    </w:rPr>
                  </w:pPr>
                  <w:r w:rsidRPr="00D423B2">
                    <w:rPr>
                      <w:rFonts w:ascii="Times New Roman" w:hAnsi="Times New Roman" w:cs="Times New Roman"/>
                      <w:sz w:val="16"/>
                      <w:szCs w:val="16"/>
                    </w:rPr>
                    <w:t>ОАО "Генерирующая компания", в том числе</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5215</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7933</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Казанская ТЭЦ-1</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220</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630</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Казанская ТЭЦ-2</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410</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991</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Набережночелнинская ТЭЦ</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1 180</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4 092</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Елабужская ТЭЦ</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420</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Нижнекамская ГЭС</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1 205</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w:t>
                  </w:r>
                </w:p>
              </w:tc>
            </w:tr>
            <w:tr w:rsidR="00D423B2" w:rsidRPr="00D423B2" w:rsidTr="009E6521">
              <w:trPr>
                <w:trHeight w:val="240"/>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Заинская ГРЭС</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2 200</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110</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Котельная Азино</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360</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Котельная Горки</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200</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Котельная Савиново</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540</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КЦ БСИ</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590</w:t>
                  </w:r>
                </w:p>
              </w:tc>
            </w:tr>
            <w:tr w:rsidR="00D423B2" w:rsidRPr="00D423B2" w:rsidTr="009E6521">
              <w:trPr>
                <w:trHeight w:val="227"/>
              </w:trPr>
              <w:tc>
                <w:tcPr>
                  <w:tcW w:w="2419" w:type="dxa"/>
                </w:tcPr>
                <w:p w:rsidR="00C357E3" w:rsidRPr="00D423B2" w:rsidRDefault="00C357E3" w:rsidP="00C357E3">
                  <w:pPr>
                    <w:pStyle w:val="ConsPlusNormal"/>
                    <w:rPr>
                      <w:rFonts w:ascii="Times New Roman" w:hAnsi="Times New Roman" w:cs="Times New Roman"/>
                      <w:sz w:val="16"/>
                      <w:szCs w:val="16"/>
                    </w:rPr>
                  </w:pPr>
                  <w:r w:rsidRPr="00D423B2">
                    <w:rPr>
                      <w:rFonts w:ascii="Times New Roman" w:hAnsi="Times New Roman" w:cs="Times New Roman"/>
                      <w:sz w:val="16"/>
                      <w:szCs w:val="16"/>
                    </w:rPr>
                    <w:t>ОАО "ТГК-16", в том числе</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1 300</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5 643</w:t>
                  </w:r>
                </w:p>
              </w:tc>
            </w:tr>
            <w:tr w:rsidR="00D423B2" w:rsidRPr="00D423B2" w:rsidTr="009E6521">
              <w:trPr>
                <w:trHeight w:val="240"/>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Казанская ТЭЦ-3</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420</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1 897</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Нижнекамская ТЭЦ (ПТК-1)</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880</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3 746</w:t>
                  </w:r>
                </w:p>
              </w:tc>
            </w:tr>
            <w:tr w:rsidR="00D423B2" w:rsidRPr="00D423B2" w:rsidTr="009E6521">
              <w:trPr>
                <w:trHeight w:val="240"/>
              </w:trPr>
              <w:tc>
                <w:tcPr>
                  <w:tcW w:w="2419" w:type="dxa"/>
                </w:tcPr>
                <w:p w:rsidR="00C357E3" w:rsidRPr="00D423B2" w:rsidRDefault="00C357E3" w:rsidP="00C357E3">
                  <w:pPr>
                    <w:pStyle w:val="ConsPlusNormal"/>
                    <w:rPr>
                      <w:rFonts w:ascii="Times New Roman" w:hAnsi="Times New Roman" w:cs="Times New Roman"/>
                      <w:sz w:val="16"/>
                      <w:szCs w:val="16"/>
                    </w:rPr>
                  </w:pPr>
                  <w:r w:rsidRPr="00D423B2">
                    <w:rPr>
                      <w:rFonts w:ascii="Times New Roman" w:hAnsi="Times New Roman" w:cs="Times New Roman"/>
                      <w:sz w:val="16"/>
                      <w:szCs w:val="16"/>
                    </w:rPr>
                    <w:t>ООО "Нижнекамская ТЭЦ", в том числе</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380</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1 580</w:t>
                  </w:r>
                </w:p>
              </w:tc>
            </w:tr>
            <w:tr w:rsidR="00D423B2" w:rsidRPr="00D423B2" w:rsidTr="009E6521">
              <w:trPr>
                <w:trHeight w:val="227"/>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Нижнекамская ТЭЦ (ПТК-2)</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380</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1 580</w:t>
                  </w:r>
                </w:p>
              </w:tc>
            </w:tr>
            <w:tr w:rsidR="00D423B2" w:rsidRPr="00D423B2" w:rsidTr="009E6521">
              <w:trPr>
                <w:trHeight w:val="227"/>
              </w:trPr>
              <w:tc>
                <w:tcPr>
                  <w:tcW w:w="2419" w:type="dxa"/>
                </w:tcPr>
                <w:p w:rsidR="00C357E3" w:rsidRPr="00D423B2" w:rsidRDefault="00C357E3" w:rsidP="00C357E3">
                  <w:pPr>
                    <w:pStyle w:val="ConsPlusNormal"/>
                    <w:rPr>
                      <w:rFonts w:ascii="Times New Roman" w:hAnsi="Times New Roman" w:cs="Times New Roman"/>
                      <w:sz w:val="16"/>
                      <w:szCs w:val="16"/>
                    </w:rPr>
                  </w:pPr>
                  <w:r w:rsidRPr="00D423B2">
                    <w:rPr>
                      <w:rFonts w:ascii="Times New Roman" w:hAnsi="Times New Roman" w:cs="Times New Roman"/>
                      <w:sz w:val="16"/>
                      <w:szCs w:val="16"/>
                    </w:rPr>
                    <w:t>ЗАО "ТГК Уруссинская ГРЭС"</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161</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127</w:t>
                  </w:r>
                </w:p>
              </w:tc>
            </w:tr>
            <w:tr w:rsidR="00D423B2" w:rsidRPr="00D423B2" w:rsidTr="009E6521">
              <w:trPr>
                <w:trHeight w:val="240"/>
              </w:trPr>
              <w:tc>
                <w:tcPr>
                  <w:tcW w:w="2419" w:type="dxa"/>
                </w:tcPr>
                <w:p w:rsidR="00C357E3" w:rsidRPr="00D423B2" w:rsidRDefault="00C357E3" w:rsidP="00C357E3">
                  <w:pPr>
                    <w:pStyle w:val="ConsPlusNormal"/>
                    <w:ind w:left="283"/>
                    <w:rPr>
                      <w:rFonts w:ascii="Times New Roman" w:hAnsi="Times New Roman" w:cs="Times New Roman"/>
                      <w:sz w:val="16"/>
                      <w:szCs w:val="16"/>
                    </w:rPr>
                  </w:pPr>
                  <w:r w:rsidRPr="00D423B2">
                    <w:rPr>
                      <w:rFonts w:ascii="Times New Roman" w:hAnsi="Times New Roman" w:cs="Times New Roman"/>
                      <w:sz w:val="16"/>
                      <w:szCs w:val="16"/>
                    </w:rPr>
                    <w:t>Уруссинская ГРЭС</w:t>
                  </w:r>
                </w:p>
              </w:tc>
              <w:tc>
                <w:tcPr>
                  <w:tcW w:w="1462"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161</w:t>
                  </w:r>
                </w:p>
              </w:tc>
              <w:tc>
                <w:tcPr>
                  <w:tcW w:w="1254" w:type="dxa"/>
                </w:tcPr>
                <w:p w:rsidR="00C357E3" w:rsidRPr="00D423B2" w:rsidRDefault="00C357E3" w:rsidP="00C357E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127</w:t>
                  </w:r>
                </w:p>
              </w:tc>
            </w:tr>
          </w:tbl>
          <w:p w:rsidR="00C357E3" w:rsidRPr="00D423B2" w:rsidRDefault="00C357E3" w:rsidP="008C5C95">
            <w:pPr>
              <w:widowControl w:val="0"/>
              <w:autoSpaceDE w:val="0"/>
              <w:autoSpaceDN w:val="0"/>
              <w:jc w:val="center"/>
              <w:rPr>
                <w:rFonts w:ascii="Times New Roman" w:eastAsia="Times New Roman" w:hAnsi="Times New Roman" w:cs="Times New Roman"/>
                <w:sz w:val="24"/>
                <w:szCs w:val="24"/>
                <w:lang w:eastAsia="ru-RU"/>
              </w:rPr>
            </w:pP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Передача электрической энергии осуществляется по сетям электросетевых компаний.</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Крупнейшей электросетевой организацией в Республике Татарстан является ОАО "Сетевая компания". По состоянию на 1 января 2015 года в республике также функционируют 52 смежные сетевые организации.</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Филиалами ОАО "Сетевая компания" эксплуатируются 18142 подстанции (далее - ПС), в том числе 374 ПС с напряжением 35-500 кВ, 17768 распределительных подстанций (далее - РП) и трансформаторных подстанций (далее - ТП) с напряжением 6 (10) кВ. На подстанциях с напряжением 35 - 500 кВ в работе находятся силовые трансформаторы (далее - АТ) общей мощностью 18303,3 МВА.</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Общая протяженность воздушных линий (далее - ВЛ) 0,4-500 кВ составляет 58712,2 км, общая протяженность кабельных линий электропередач 0,38 - 110 кВ - 8724,2 км.</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Энергосистема Республики Татарстан является наиболее крупной в территориальной структуре электропотребления Объединенной энергетической системы Средней Волги, имеет наибольший удельный вес в суммарном потреблении электрической энергии в системе - 24,7 процента, и в течение прогнозного периода данный показатель не претерпит существенных изменений.</w:t>
            </w:r>
          </w:p>
          <w:p w:rsidR="00300214" w:rsidRPr="00D423B2" w:rsidRDefault="00300214" w:rsidP="00300214">
            <w:pPr>
              <w:pStyle w:val="ConsPlusNormal"/>
              <w:ind w:firstLine="540"/>
              <w:jc w:val="both"/>
              <w:rPr>
                <w:rFonts w:ascii="Times New Roman" w:hAnsi="Times New Roman" w:cs="Times New Roman"/>
                <w:i/>
                <w:sz w:val="24"/>
                <w:szCs w:val="24"/>
              </w:rPr>
            </w:pPr>
            <w:r w:rsidRPr="00D423B2">
              <w:rPr>
                <w:rFonts w:ascii="Times New Roman" w:hAnsi="Times New Roman" w:cs="Times New Roman"/>
                <w:i/>
                <w:sz w:val="24"/>
                <w:szCs w:val="24"/>
              </w:rPr>
              <w:t>Казанский энергорайон</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Казанский энергорайон является остродефицитным. Потребление энергорайона в зимний (летний) максимум в 2014 году составляет 1299/992 МВт, при этом генерация в данный период времени - 550/171 МВт.</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Электроснабжение Казанского энергорайона осуществляется от трех электростанций: Казанской ТЭЦ-1, Казанской ТЭЦ-2, Казанской ТЭЦ-3, а дефицит мощности восполняется по транзитным ВЛ 500 и 220 кВ.</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Основными потребителями электроэнергии Казанского энергорайона являются предприятия нефтехимической промышленности, авиастроения, моторостроения, судостроения, коммунально-бытового сектора и сельского хозяйства.</w:t>
            </w:r>
          </w:p>
          <w:p w:rsidR="00300214" w:rsidRPr="00D423B2" w:rsidRDefault="00300214" w:rsidP="00300214">
            <w:pPr>
              <w:pStyle w:val="ConsPlusNormal"/>
              <w:ind w:firstLine="540"/>
              <w:jc w:val="both"/>
              <w:rPr>
                <w:rFonts w:ascii="Times New Roman" w:hAnsi="Times New Roman" w:cs="Times New Roman"/>
                <w:i/>
                <w:sz w:val="24"/>
                <w:szCs w:val="24"/>
              </w:rPr>
            </w:pPr>
            <w:r w:rsidRPr="00D423B2">
              <w:rPr>
                <w:rFonts w:ascii="Times New Roman" w:hAnsi="Times New Roman" w:cs="Times New Roman"/>
                <w:i/>
                <w:sz w:val="24"/>
                <w:szCs w:val="24"/>
              </w:rPr>
              <w:t>Нижнекамский энергорайон</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Нижнекамский энергорайон является дефицитным. Потребление энергорайона в зимний (летний) максимум составляет 1715/1433 МВт, при этом генерация в данный период времени - 1473/953 МВт.</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Электроснабжение Нижнекамского энергорайона осуществляется от трех электростанций: Нижнекамской ТЭЦ (ПТК-1), Нижнекамской ТЭЦ (ПТК-2), Набережночелнинской ТЭЦ, а дефицит мощности восполняется по транзитным ВЛ 220 и 110 кВ.</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Основными потребителями электроэнергии Нижнекамского энергорайона являются предприятия промышленности, в том числе нефтехимической, нефтеперерабатывающей, нефтедобывающей, автомобилестроения, сельского хозяйства и коммунально-бытового сектора.</w:t>
            </w:r>
          </w:p>
          <w:p w:rsidR="00300214" w:rsidRPr="00D423B2" w:rsidRDefault="00300214" w:rsidP="00300214">
            <w:pPr>
              <w:pStyle w:val="ConsPlusNormal"/>
              <w:ind w:firstLine="540"/>
              <w:jc w:val="both"/>
              <w:rPr>
                <w:rFonts w:ascii="Times New Roman" w:hAnsi="Times New Roman" w:cs="Times New Roman"/>
                <w:i/>
                <w:sz w:val="24"/>
                <w:szCs w:val="24"/>
              </w:rPr>
            </w:pPr>
            <w:r w:rsidRPr="00D423B2">
              <w:rPr>
                <w:rFonts w:ascii="Times New Roman" w:hAnsi="Times New Roman" w:cs="Times New Roman"/>
                <w:i/>
                <w:sz w:val="24"/>
                <w:szCs w:val="24"/>
              </w:rPr>
              <w:t>Уруссинский энергорайон</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Уруссинский энергорайон является дефицитным. Потребление энергорайона в зимний (летний) максимум составляет 768/601 МВт, при этом генерация в данный период времени - 463/410 МВт.</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энергорайоне функционирует ПС Бугульма-500 с РУ 500-220-110 кВ и Уруссинская ГРЭС - 161 МВт. Электроснабжение Уруссинского энергорайона осуществляется от Уруссинской ГРЭС, а связь с Единой энергетической системой и другими энергорайонами операционной зоны Регионального диспетчерского управления (далее - ОЗ РДУ) Татарстана осуществляется по ВЛ-500-220-110 кВ.</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Основными потребителями электроэнергии Уруссинского энергорайона являются предприятия нефтедобывающей и нефтехимической промышленности, коммунально-бытового сектора и сельского хозяйства.</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Рост дефицита активной мощности Уруссинского энергорайона обусловлен ростом собственного электропотребления и перспективных потребителей электроэнергии.</w:t>
            </w:r>
          </w:p>
          <w:p w:rsidR="00300214" w:rsidRPr="00D423B2" w:rsidRDefault="00300214" w:rsidP="00300214">
            <w:pPr>
              <w:pStyle w:val="ConsPlusNormal"/>
              <w:ind w:firstLine="540"/>
              <w:jc w:val="both"/>
              <w:rPr>
                <w:rFonts w:ascii="Times New Roman" w:hAnsi="Times New Roman" w:cs="Times New Roman"/>
                <w:i/>
                <w:sz w:val="24"/>
                <w:szCs w:val="24"/>
              </w:rPr>
            </w:pPr>
            <w:r w:rsidRPr="00D423B2">
              <w:rPr>
                <w:rFonts w:ascii="Times New Roman" w:hAnsi="Times New Roman" w:cs="Times New Roman"/>
                <w:i/>
                <w:sz w:val="24"/>
                <w:szCs w:val="24"/>
              </w:rPr>
              <w:t>Буинский энергорайон</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Буинский энергорайон является дефицитным. Потребление энергорайона в зимний (летний) максимум составляет 82/48 МВт, при этом источники генерации в данном районе отсутствуют.</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Буинском энергорайоне функционирует ПС Студенец с РУ 220-110 кВ. Электроснабжение Буинского энергорайона осуществляется от ПС Канаш Чувашской ЭС по ВЛ 220 кВ Канаш-Студенец (I и II цепь) и от ПС Тюрлема Чувашской ЭС по ВЛ 110 кВ Тюрлема - Бишбатман, а связь с ЕЭС и другими энергорайонами ОЗ РДУ Татарстана осуществляется по ВЛ 110 кВ.</w:t>
            </w:r>
          </w:p>
          <w:p w:rsidR="00300214" w:rsidRPr="00D423B2" w:rsidRDefault="00300214" w:rsidP="0030021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Основными промышленными потребителями в Буинском районе являются предприятия пищевой и сельскохозяйственной промышленности.</w:t>
            </w:r>
          </w:p>
          <w:p w:rsidR="00DF1E16" w:rsidRPr="00D423B2" w:rsidRDefault="00DF1E16" w:rsidP="005F3D96">
            <w:pPr>
              <w:jc w:val="both"/>
              <w:rPr>
                <w:rFonts w:ascii="Times New Roman" w:hAnsi="Times New Roman" w:cs="Times New Roman"/>
                <w:sz w:val="24"/>
                <w:szCs w:val="24"/>
              </w:rPr>
            </w:pPr>
          </w:p>
          <w:p w:rsidR="005E3A28" w:rsidRPr="00D423B2" w:rsidRDefault="005E3A28" w:rsidP="005E3A2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Основные проблемные вопросы энергетической отрасли Татарстана заключаются в следующем.</w:t>
            </w:r>
          </w:p>
          <w:p w:rsidR="005E3A28" w:rsidRPr="00D423B2" w:rsidRDefault="005E3A28" w:rsidP="005E3A2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 состоянию на 1 января 2015 года физический износ основных производственных фондов ОАО "Сетевая компания" (линии электропередач, трансформаторы) составляет 57 процентов, по линиям электропередач напряжением СН1 (35 кВ) износ достигает 67 процентов. Вместе с тем потери электрической энергии при транспортировке по сетям ОАО "Сетевая компания" снизились с 9,5 процента в 2009 году до 7,2 процента в 2013 году. Несмотря на то, что уровень потерь в сетях ОАО "Сетевая компания" является одним из самых низких в стране, указанное значение выше по сравнению со значениями сетевых потерь в промышленно развитых странах мира (4 - 5 процентов).</w:t>
            </w:r>
          </w:p>
          <w:p w:rsidR="005E3A28" w:rsidRPr="00D423B2" w:rsidRDefault="005E3A28" w:rsidP="005E3A2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 объектам генерации наибольший физический износ основных производственных фондов на Уруссинской ГРЭС составляет 84,4 процента, в ООО "Нижнекамская ТЭЦ" - 58,4 процента. Такая ситуация связана со значительными капитальными вложениями, высокими сроками окупаемости мероприятий по модернизации объектов энергетики.</w:t>
            </w:r>
          </w:p>
          <w:p w:rsidR="005E3A28" w:rsidRPr="00D423B2" w:rsidRDefault="005E3A28" w:rsidP="005E3A2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Износ и моральное старение генерирующих мощностей объектов энергетики республики на фоне массового строительства новых генерирующих мощностей по программе договоров о предоставлении мощности за пределами Республики Татарстан приводят к снижению конкурентоспособности энергетических компаний Татарстана на оптовом рынке электроэнергии и мощности и дальнейшему выводу из эксплуатации старых станций. Так, к 2019 году предполагается вывод генерирующего оборудования с суммарной мощностью 2804 МВт, в том числе на объектах ОАО "Генерирующая компания" - 2610 МВт: Казанская ТЭЦ-2 - 190 МВт (2017 год), Казанская ТЭЦ-1 - 220 МВт (2018 год), Заинская ГРЭС - 2200 МВт (2018 год), ЗАО "ТГК Уруссинская ГРЭС" - 161 МВт (2018 год), ОАО "ТГК-16" - 33 МВт (Казанская ТЭЦ-3).</w:t>
            </w:r>
          </w:p>
          <w:p w:rsidR="005E3A28" w:rsidRPr="00D423B2" w:rsidRDefault="005E3A28" w:rsidP="005E3A2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Однако, несмотря на указанные проблемы, энергосистеме Республики Татарстан удается решать главную задачу: обеспечение надежного и бесперебойного снабжения потребителей электрической и тепловой энергией.</w:t>
            </w:r>
          </w:p>
          <w:p w:rsidR="005E3A28" w:rsidRPr="00D423B2" w:rsidRDefault="005E3A28" w:rsidP="005F3D96">
            <w:pPr>
              <w:jc w:val="both"/>
              <w:rPr>
                <w:rFonts w:ascii="Times New Roman" w:hAnsi="Times New Roman" w:cs="Times New Roman"/>
                <w:sz w:val="24"/>
                <w:szCs w:val="24"/>
              </w:rPr>
            </w:pPr>
          </w:p>
          <w:p w:rsidR="00935701" w:rsidRPr="00D423B2" w:rsidRDefault="00DB7273" w:rsidP="005F3D96">
            <w:pPr>
              <w:jc w:val="both"/>
              <w:rPr>
                <w:rFonts w:ascii="Times New Roman" w:hAnsi="Times New Roman" w:cs="Times New Roman"/>
                <w:sz w:val="24"/>
                <w:szCs w:val="24"/>
              </w:rPr>
            </w:pPr>
            <w:r w:rsidRPr="00D423B2">
              <w:rPr>
                <w:rFonts w:ascii="Times New Roman" w:hAnsi="Times New Roman" w:cs="Times New Roman"/>
                <w:sz w:val="24"/>
                <w:szCs w:val="24"/>
              </w:rPr>
              <w:t xml:space="preserve">         </w:t>
            </w:r>
            <w:r w:rsidR="00935701" w:rsidRPr="00D423B2">
              <w:rPr>
                <w:rFonts w:ascii="Times New Roman" w:hAnsi="Times New Roman" w:cs="Times New Roman"/>
                <w:sz w:val="24"/>
                <w:szCs w:val="24"/>
              </w:rPr>
              <w:t>4.1.1. Структура производства и потребления электрической и тепловой энергии</w:t>
            </w:r>
          </w:p>
          <w:p w:rsidR="00DB7273" w:rsidRPr="00D423B2" w:rsidRDefault="00DB7273" w:rsidP="00DB727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Выработка электрической энергии в Республике Татарстан осуществляется в основном на тепловых и конденсационных электростанциях. На долю гидроэлектростанции (Нижнекамская ГЭС) приходится 7 - 8 процентов выработки.</w:t>
            </w:r>
          </w:p>
          <w:p w:rsidR="00DB7273" w:rsidRPr="00D423B2" w:rsidRDefault="00DB7273" w:rsidP="00DB727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За 2014 год в республике выработано 21,5 млрд кВт/ч электрической энергии со снижением относительно 2009 года на один процент.</w:t>
            </w:r>
          </w:p>
          <w:p w:rsidR="00D03DAE" w:rsidRPr="00D423B2" w:rsidRDefault="00D03DAE" w:rsidP="00C621F2">
            <w:pPr>
              <w:pStyle w:val="ConsPlusNormal"/>
              <w:ind w:firstLine="540"/>
              <w:jc w:val="center"/>
              <w:rPr>
                <w:rFonts w:ascii="Times New Roman" w:hAnsi="Times New Roman" w:cs="Times New Roman"/>
                <w:sz w:val="24"/>
                <w:szCs w:val="24"/>
              </w:rPr>
            </w:pPr>
            <w:r w:rsidRPr="00D423B2">
              <w:rPr>
                <w:rFonts w:ascii="Times New Roman" w:hAnsi="Times New Roman" w:cs="Times New Roman"/>
                <w:noProof/>
                <w:sz w:val="24"/>
                <w:szCs w:val="24"/>
              </w:rPr>
              <w:drawing>
                <wp:inline distT="0" distB="0" distL="0" distR="0" wp14:anchorId="5BF2E078" wp14:editId="0F9A3F67">
                  <wp:extent cx="2411095" cy="1380656"/>
                  <wp:effectExtent l="0" t="0" r="825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24537" cy="1388354"/>
                          </a:xfrm>
                          <a:prstGeom prst="rect">
                            <a:avLst/>
                          </a:prstGeom>
                          <a:noFill/>
                        </pic:spPr>
                      </pic:pic>
                    </a:graphicData>
                  </a:graphic>
                </wp:inline>
              </w:drawing>
            </w:r>
          </w:p>
          <w:p w:rsidR="00C621F2" w:rsidRPr="00D423B2" w:rsidRDefault="00C621F2" w:rsidP="00DB7273">
            <w:pPr>
              <w:pStyle w:val="ConsPlusNormal"/>
              <w:ind w:firstLine="540"/>
              <w:jc w:val="both"/>
              <w:rPr>
                <w:rFonts w:ascii="Times New Roman" w:hAnsi="Times New Roman" w:cs="Times New Roman"/>
                <w:sz w:val="24"/>
                <w:szCs w:val="24"/>
              </w:rPr>
            </w:pPr>
          </w:p>
          <w:p w:rsidR="00C621F2" w:rsidRPr="00D423B2" w:rsidRDefault="00C621F2" w:rsidP="00C621F2">
            <w:pPr>
              <w:pStyle w:val="ConsPlusNormal"/>
              <w:ind w:firstLine="540"/>
              <w:jc w:val="center"/>
              <w:rPr>
                <w:rFonts w:ascii="Times New Roman" w:hAnsi="Times New Roman" w:cs="Times New Roman"/>
                <w:sz w:val="18"/>
                <w:szCs w:val="18"/>
              </w:rPr>
            </w:pPr>
            <w:r w:rsidRPr="00D423B2">
              <w:rPr>
                <w:rFonts w:ascii="Times New Roman" w:hAnsi="Times New Roman" w:cs="Times New Roman"/>
                <w:sz w:val="18"/>
                <w:szCs w:val="18"/>
              </w:rPr>
              <w:t>Рис. 14. Структура выработки электрической энергии станциями Республики Татарстан</w:t>
            </w:r>
          </w:p>
          <w:p w:rsidR="00294BD3" w:rsidRPr="00D423B2" w:rsidRDefault="00294BD3" w:rsidP="00294BD3">
            <w:pPr>
              <w:pStyle w:val="ConsPlusNormal"/>
              <w:ind w:firstLine="540"/>
              <w:jc w:val="both"/>
              <w:rPr>
                <w:rFonts w:ascii="Times New Roman" w:hAnsi="Times New Roman" w:cs="Times New Roman"/>
                <w:sz w:val="24"/>
                <w:szCs w:val="24"/>
              </w:rPr>
            </w:pPr>
          </w:p>
          <w:p w:rsidR="00294BD3" w:rsidRPr="00D423B2" w:rsidRDefault="00294BD3" w:rsidP="00294BD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последние годы наблюдается снижение выработки электрической энергии станциями, что объясняется падением конкурентоспособности республиканской генерации вследствие отсутствия достаточного ввода современных источников электрической энергии при активном внедрении современных технологий за пределами республики.</w:t>
            </w:r>
          </w:p>
          <w:p w:rsidR="00294BD3" w:rsidRPr="00D423B2" w:rsidRDefault="00294BD3" w:rsidP="00294BD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Объем внутреннего потребления электрической энергии в Республике Татарстан в период с 2009 по 2014 год увеличился на 3,3 млрд кВт.ч, или на 13 процентов. Рост потребления электрической энергии объясняется развитием производства в энергоемких отраслях республики, таких как машиностроение, нефтехимия, нефтедобыча.</w:t>
            </w:r>
          </w:p>
          <w:p w:rsidR="00294BD3" w:rsidRPr="00D423B2" w:rsidRDefault="00294BD3" w:rsidP="00294BD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За рассматриваемый период происходит также изменение структуры потребления электрической энергии в разрезе групп потребителей. Так, по итогам 2014 года значительные объемы потребления электроэнергии наблюдаются по следующим группам потребителей:</w:t>
            </w:r>
          </w:p>
          <w:p w:rsidR="00294BD3" w:rsidRPr="00D423B2" w:rsidRDefault="00294BD3" w:rsidP="00294BD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химия, нефтехимия - 24,4 процента (рост относительно 2009 года на 5 процентов);</w:t>
            </w:r>
          </w:p>
          <w:p w:rsidR="00294BD3" w:rsidRPr="00D423B2" w:rsidRDefault="00294BD3" w:rsidP="00294BD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прочие потребители - 19,2 процента (снижение относительно 2009 года на 8 процентов);</w:t>
            </w:r>
          </w:p>
          <w:p w:rsidR="00294BD3" w:rsidRPr="00D423B2" w:rsidRDefault="00294BD3" w:rsidP="00294BD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нефтедобыча - 17,7 процента (на уровне 2009 года);</w:t>
            </w:r>
          </w:p>
          <w:p w:rsidR="00294BD3" w:rsidRPr="00D423B2" w:rsidRDefault="00294BD3" w:rsidP="00294BD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население и жилищно-коммунальное хозяйство - 14 процентов (на уровне 2009 года).</w:t>
            </w:r>
          </w:p>
          <w:p w:rsidR="00D03DAE" w:rsidRPr="00D423B2" w:rsidRDefault="00D03DAE" w:rsidP="00DB7273">
            <w:pPr>
              <w:pStyle w:val="ConsPlusNormal"/>
              <w:ind w:firstLine="540"/>
              <w:jc w:val="both"/>
              <w:rPr>
                <w:rFonts w:ascii="Times New Roman" w:hAnsi="Times New Roman" w:cs="Times New Roman"/>
                <w:sz w:val="24"/>
                <w:szCs w:val="24"/>
              </w:rPr>
            </w:pPr>
          </w:p>
          <w:p w:rsidR="00D03DAE" w:rsidRPr="00D423B2" w:rsidRDefault="00941B46" w:rsidP="00941B46">
            <w:pPr>
              <w:pStyle w:val="ConsPlusNormal"/>
              <w:ind w:firstLine="540"/>
              <w:jc w:val="center"/>
              <w:rPr>
                <w:rFonts w:ascii="Times New Roman" w:hAnsi="Times New Roman" w:cs="Times New Roman"/>
                <w:sz w:val="24"/>
                <w:szCs w:val="24"/>
              </w:rPr>
            </w:pPr>
            <w:r w:rsidRPr="00D423B2">
              <w:rPr>
                <w:rFonts w:ascii="Times New Roman" w:hAnsi="Times New Roman" w:cs="Times New Roman"/>
                <w:noProof/>
                <w:sz w:val="24"/>
                <w:szCs w:val="24"/>
              </w:rPr>
              <w:drawing>
                <wp:inline distT="0" distB="0" distL="0" distR="0" wp14:anchorId="2B7F03CC" wp14:editId="42C1777C">
                  <wp:extent cx="1964690" cy="1287023"/>
                  <wp:effectExtent l="0" t="0" r="0" b="889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0730" cy="1297530"/>
                          </a:xfrm>
                          <a:prstGeom prst="rect">
                            <a:avLst/>
                          </a:prstGeom>
                          <a:noFill/>
                        </pic:spPr>
                      </pic:pic>
                    </a:graphicData>
                  </a:graphic>
                </wp:inline>
              </w:drawing>
            </w:r>
          </w:p>
          <w:p w:rsidR="00893C28" w:rsidRPr="00D423B2" w:rsidRDefault="00893C28" w:rsidP="00941B46">
            <w:pPr>
              <w:pStyle w:val="ConsPlusNormal"/>
              <w:ind w:firstLine="540"/>
              <w:jc w:val="center"/>
              <w:rPr>
                <w:rFonts w:ascii="Times New Roman" w:hAnsi="Times New Roman" w:cs="Times New Roman"/>
                <w:sz w:val="24"/>
                <w:szCs w:val="24"/>
              </w:rPr>
            </w:pPr>
          </w:p>
          <w:p w:rsidR="00893C28" w:rsidRPr="00D423B2" w:rsidRDefault="00893C28" w:rsidP="00893C28">
            <w:pPr>
              <w:jc w:val="center"/>
              <w:rPr>
                <w:rFonts w:ascii="Times New Roman" w:hAnsi="Times New Roman" w:cs="Times New Roman"/>
                <w:sz w:val="18"/>
                <w:szCs w:val="18"/>
              </w:rPr>
            </w:pPr>
            <w:r w:rsidRPr="00D423B2">
              <w:rPr>
                <w:rFonts w:ascii="Times New Roman" w:hAnsi="Times New Roman" w:cs="Times New Roman"/>
                <w:sz w:val="18"/>
                <w:szCs w:val="18"/>
              </w:rPr>
              <w:t>Рис. 15. Динамика потребления электрической энергии в</w:t>
            </w:r>
          </w:p>
          <w:p w:rsidR="00177636" w:rsidRPr="00D423B2" w:rsidRDefault="00893C28" w:rsidP="00893C28">
            <w:pPr>
              <w:jc w:val="center"/>
              <w:rPr>
                <w:rFonts w:ascii="Times New Roman" w:hAnsi="Times New Roman" w:cs="Times New Roman"/>
                <w:sz w:val="18"/>
                <w:szCs w:val="18"/>
              </w:rPr>
            </w:pPr>
            <w:r w:rsidRPr="00D423B2">
              <w:rPr>
                <w:rFonts w:ascii="Times New Roman" w:hAnsi="Times New Roman" w:cs="Times New Roman"/>
                <w:sz w:val="18"/>
                <w:szCs w:val="18"/>
              </w:rPr>
              <w:t>Республике Татарстан в 2009 и 2014 годах</w:t>
            </w:r>
          </w:p>
          <w:p w:rsidR="00EE0A44" w:rsidRPr="00D423B2" w:rsidRDefault="00EE0A44" w:rsidP="00893C28">
            <w:pPr>
              <w:jc w:val="center"/>
              <w:rPr>
                <w:rFonts w:ascii="Times New Roman" w:hAnsi="Times New Roman" w:cs="Times New Roman"/>
                <w:sz w:val="18"/>
                <w:szCs w:val="18"/>
              </w:rPr>
            </w:pPr>
          </w:p>
          <w:p w:rsidR="00893C28" w:rsidRPr="00D423B2" w:rsidRDefault="00EE0A44" w:rsidP="00893C28">
            <w:pPr>
              <w:jc w:val="center"/>
              <w:rPr>
                <w:rFonts w:ascii="Times New Roman" w:hAnsi="Times New Roman" w:cs="Times New Roman"/>
                <w:sz w:val="18"/>
                <w:szCs w:val="18"/>
              </w:rPr>
            </w:pPr>
            <w:r w:rsidRPr="00D423B2">
              <w:rPr>
                <w:rFonts w:ascii="Times New Roman" w:hAnsi="Times New Roman" w:cs="Times New Roman"/>
                <w:noProof/>
                <w:sz w:val="18"/>
                <w:szCs w:val="18"/>
                <w:lang w:eastAsia="ru-RU"/>
              </w:rPr>
              <w:drawing>
                <wp:inline distT="0" distB="0" distL="0" distR="0" wp14:anchorId="1311A9BD" wp14:editId="27A97B66">
                  <wp:extent cx="1990725" cy="914808"/>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15936" cy="926393"/>
                          </a:xfrm>
                          <a:prstGeom prst="rect">
                            <a:avLst/>
                          </a:prstGeom>
                          <a:noFill/>
                        </pic:spPr>
                      </pic:pic>
                    </a:graphicData>
                  </a:graphic>
                </wp:inline>
              </w:drawing>
            </w:r>
          </w:p>
          <w:p w:rsidR="00EE0A44" w:rsidRPr="00D423B2" w:rsidRDefault="00EE0A44" w:rsidP="00893C28">
            <w:pPr>
              <w:jc w:val="center"/>
              <w:rPr>
                <w:rFonts w:ascii="Times New Roman" w:hAnsi="Times New Roman" w:cs="Times New Roman"/>
                <w:sz w:val="18"/>
                <w:szCs w:val="18"/>
              </w:rPr>
            </w:pPr>
          </w:p>
          <w:p w:rsidR="00EE0A44" w:rsidRPr="00D423B2" w:rsidRDefault="00EE0A44" w:rsidP="00EE0A44">
            <w:pPr>
              <w:jc w:val="center"/>
              <w:rPr>
                <w:rFonts w:ascii="Times New Roman" w:hAnsi="Times New Roman" w:cs="Times New Roman"/>
                <w:sz w:val="18"/>
                <w:szCs w:val="18"/>
              </w:rPr>
            </w:pPr>
            <w:r w:rsidRPr="00D423B2">
              <w:rPr>
                <w:rFonts w:ascii="Times New Roman" w:hAnsi="Times New Roman" w:cs="Times New Roman"/>
                <w:sz w:val="18"/>
                <w:szCs w:val="18"/>
              </w:rPr>
              <w:t>Рис. 16. Структура потребления электроэнергии</w:t>
            </w:r>
          </w:p>
          <w:p w:rsidR="00EE0A44" w:rsidRPr="00D423B2" w:rsidRDefault="00EE0A44" w:rsidP="00EE0A44">
            <w:pPr>
              <w:jc w:val="center"/>
              <w:rPr>
                <w:rFonts w:ascii="Times New Roman" w:hAnsi="Times New Roman" w:cs="Times New Roman"/>
                <w:sz w:val="18"/>
                <w:szCs w:val="18"/>
              </w:rPr>
            </w:pPr>
            <w:r w:rsidRPr="00D423B2">
              <w:rPr>
                <w:rFonts w:ascii="Times New Roman" w:hAnsi="Times New Roman" w:cs="Times New Roman"/>
                <w:sz w:val="18"/>
                <w:szCs w:val="18"/>
              </w:rPr>
              <w:t>в Республике Татарстан в 2009 и 2014 годах</w:t>
            </w:r>
          </w:p>
          <w:p w:rsidR="00B617C5" w:rsidRPr="00D423B2" w:rsidRDefault="00B617C5" w:rsidP="00EE0A44">
            <w:pPr>
              <w:jc w:val="center"/>
              <w:rPr>
                <w:rFonts w:ascii="Times New Roman" w:hAnsi="Times New Roman" w:cs="Times New Roman"/>
                <w:sz w:val="18"/>
                <w:szCs w:val="18"/>
              </w:rPr>
            </w:pPr>
          </w:p>
          <w:p w:rsidR="00B617C5" w:rsidRPr="00D423B2" w:rsidRDefault="00B617C5" w:rsidP="00B617C5">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Республике Татарстан отпуск тепловой энергии, производимой в режиме комбинированной выработки, по итогам 2014 года составил 34,3 млн Гкал с ростом относительно 2009 года на 14,3 процента.</w:t>
            </w:r>
          </w:p>
          <w:p w:rsidR="00B617C5" w:rsidRPr="00D423B2" w:rsidRDefault="000F37AA" w:rsidP="00EE0A44">
            <w:pPr>
              <w:jc w:val="center"/>
              <w:rPr>
                <w:rFonts w:ascii="Times New Roman" w:hAnsi="Times New Roman" w:cs="Times New Roman"/>
                <w:sz w:val="18"/>
                <w:szCs w:val="18"/>
              </w:rPr>
            </w:pPr>
            <w:r w:rsidRPr="00D423B2">
              <w:rPr>
                <w:rFonts w:ascii="Times New Roman" w:hAnsi="Times New Roman" w:cs="Times New Roman"/>
                <w:noProof/>
                <w:sz w:val="18"/>
                <w:szCs w:val="18"/>
                <w:lang w:eastAsia="ru-RU"/>
              </w:rPr>
              <w:drawing>
                <wp:inline distT="0" distB="0" distL="0" distR="0" wp14:anchorId="2BEFB353" wp14:editId="25BF44A1">
                  <wp:extent cx="1972310" cy="1001660"/>
                  <wp:effectExtent l="0" t="0" r="8890" b="825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90257" cy="1010774"/>
                          </a:xfrm>
                          <a:prstGeom prst="rect">
                            <a:avLst/>
                          </a:prstGeom>
                          <a:noFill/>
                        </pic:spPr>
                      </pic:pic>
                    </a:graphicData>
                  </a:graphic>
                </wp:inline>
              </w:drawing>
            </w:r>
          </w:p>
          <w:p w:rsidR="000806AC" w:rsidRPr="00D423B2" w:rsidRDefault="000806AC" w:rsidP="00F1442A">
            <w:pPr>
              <w:pStyle w:val="ConsPlusNormal"/>
              <w:ind w:firstLine="540"/>
              <w:jc w:val="both"/>
              <w:rPr>
                <w:rFonts w:ascii="Times New Roman" w:hAnsi="Times New Roman" w:cs="Times New Roman"/>
                <w:sz w:val="18"/>
                <w:szCs w:val="18"/>
              </w:rPr>
            </w:pPr>
          </w:p>
          <w:p w:rsidR="00F1442A" w:rsidRPr="00D423B2" w:rsidRDefault="00F1442A" w:rsidP="00AC7D56">
            <w:pPr>
              <w:pStyle w:val="ConsPlusNormal"/>
              <w:ind w:firstLine="540"/>
              <w:jc w:val="both"/>
              <w:rPr>
                <w:rFonts w:ascii="Times New Roman" w:hAnsi="Times New Roman" w:cs="Times New Roman"/>
                <w:sz w:val="18"/>
                <w:szCs w:val="18"/>
              </w:rPr>
            </w:pPr>
            <w:r w:rsidRPr="00D423B2">
              <w:rPr>
                <w:rFonts w:ascii="Times New Roman" w:hAnsi="Times New Roman" w:cs="Times New Roman"/>
                <w:sz w:val="18"/>
                <w:szCs w:val="18"/>
              </w:rPr>
              <w:t>Рис. 17. Динамика отпуска тепловой энергии, производимой в</w:t>
            </w:r>
            <w:r w:rsidR="00AC7D56">
              <w:rPr>
                <w:rFonts w:ascii="Times New Roman" w:hAnsi="Times New Roman" w:cs="Times New Roman"/>
                <w:sz w:val="18"/>
                <w:szCs w:val="18"/>
              </w:rPr>
              <w:t xml:space="preserve"> </w:t>
            </w:r>
            <w:r w:rsidRPr="00D423B2">
              <w:rPr>
                <w:rFonts w:ascii="Times New Roman" w:hAnsi="Times New Roman" w:cs="Times New Roman"/>
                <w:sz w:val="18"/>
                <w:szCs w:val="18"/>
              </w:rPr>
              <w:t>режиме комбинированной выработки, в 2009 - 2014 годах</w:t>
            </w:r>
          </w:p>
          <w:p w:rsidR="000F37AA" w:rsidRPr="00D423B2" w:rsidRDefault="000F37AA" w:rsidP="00EE0A44">
            <w:pPr>
              <w:jc w:val="center"/>
              <w:rPr>
                <w:rFonts w:ascii="Times New Roman" w:hAnsi="Times New Roman" w:cs="Times New Roman"/>
                <w:sz w:val="18"/>
                <w:szCs w:val="18"/>
              </w:rPr>
            </w:pPr>
          </w:p>
          <w:p w:rsidR="00EE0A44" w:rsidRPr="00D423B2" w:rsidRDefault="00042D38" w:rsidP="00042D38">
            <w:pPr>
              <w:rPr>
                <w:rFonts w:ascii="Times New Roman" w:hAnsi="Times New Roman" w:cs="Times New Roman"/>
                <w:sz w:val="24"/>
                <w:szCs w:val="24"/>
              </w:rPr>
            </w:pPr>
            <w:r w:rsidRPr="00D423B2">
              <w:rPr>
                <w:rFonts w:ascii="Times New Roman" w:hAnsi="Times New Roman" w:cs="Times New Roman"/>
                <w:sz w:val="24"/>
                <w:szCs w:val="24"/>
              </w:rPr>
              <w:t xml:space="preserve">          </w:t>
            </w:r>
            <w:r w:rsidR="00CF08AC" w:rsidRPr="00D423B2">
              <w:rPr>
                <w:rFonts w:ascii="Times New Roman" w:hAnsi="Times New Roman" w:cs="Times New Roman"/>
                <w:sz w:val="24"/>
                <w:szCs w:val="24"/>
              </w:rPr>
              <w:t>4.1.2. Про</w:t>
            </w:r>
            <w:r w:rsidRPr="00D423B2">
              <w:rPr>
                <w:rFonts w:ascii="Times New Roman" w:hAnsi="Times New Roman" w:cs="Times New Roman"/>
                <w:sz w:val="24"/>
                <w:szCs w:val="24"/>
              </w:rPr>
              <w:t xml:space="preserve">гноз производства и потребления </w:t>
            </w:r>
            <w:r w:rsidR="00CF08AC" w:rsidRPr="00D423B2">
              <w:rPr>
                <w:rFonts w:ascii="Times New Roman" w:hAnsi="Times New Roman" w:cs="Times New Roman"/>
                <w:sz w:val="24"/>
                <w:szCs w:val="24"/>
              </w:rPr>
              <w:t>электрической и тепловой энергии</w:t>
            </w:r>
          </w:p>
          <w:p w:rsidR="00042D38" w:rsidRPr="00D423B2" w:rsidRDefault="00042D38" w:rsidP="00042D3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связи с развитием промышленного производства Республики Татарстан рост потребления электрической энергии планируется и в последующие годы: в 2020 г. - на 9,1 процента по сравнению с 2014 годом, в 2025 г. - на 15,8 процента, в 2030 г. - на 23,2 процента. Соответственно, будут расти и пиковые нагрузки энергосистемы (4699 МВт к 2030 году, что на 688 МВт выше показателя 2013 года).</w:t>
            </w:r>
          </w:p>
          <w:p w:rsidR="0085539A" w:rsidRPr="00D423B2" w:rsidRDefault="0085539A" w:rsidP="0085539A">
            <w:pPr>
              <w:pStyle w:val="ConsPlusNormal"/>
              <w:ind w:firstLine="540"/>
              <w:jc w:val="center"/>
              <w:rPr>
                <w:rFonts w:ascii="Times New Roman" w:hAnsi="Times New Roman" w:cs="Times New Roman"/>
                <w:sz w:val="24"/>
                <w:szCs w:val="24"/>
              </w:rPr>
            </w:pPr>
            <w:r w:rsidRPr="00D423B2">
              <w:rPr>
                <w:rFonts w:ascii="Times New Roman" w:hAnsi="Times New Roman" w:cs="Times New Roman"/>
                <w:noProof/>
                <w:sz w:val="24"/>
                <w:szCs w:val="24"/>
              </w:rPr>
              <w:drawing>
                <wp:inline distT="0" distB="0" distL="0" distR="0" wp14:anchorId="35B8A749" wp14:editId="07F66A59">
                  <wp:extent cx="2313305" cy="1244247"/>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32409" cy="1254522"/>
                          </a:xfrm>
                          <a:prstGeom prst="rect">
                            <a:avLst/>
                          </a:prstGeom>
                          <a:noFill/>
                        </pic:spPr>
                      </pic:pic>
                    </a:graphicData>
                  </a:graphic>
                </wp:inline>
              </w:drawing>
            </w:r>
          </w:p>
          <w:p w:rsidR="00042D38" w:rsidRPr="00D423B2" w:rsidRDefault="00042D38" w:rsidP="00893C28">
            <w:pPr>
              <w:jc w:val="center"/>
              <w:rPr>
                <w:rFonts w:ascii="Times New Roman" w:hAnsi="Times New Roman" w:cs="Times New Roman"/>
                <w:sz w:val="18"/>
                <w:szCs w:val="18"/>
              </w:rPr>
            </w:pPr>
          </w:p>
          <w:p w:rsidR="00B0794C" w:rsidRPr="00D423B2" w:rsidRDefault="00B0794C" w:rsidP="00B0794C">
            <w:pPr>
              <w:jc w:val="center"/>
              <w:rPr>
                <w:rFonts w:ascii="Times New Roman" w:hAnsi="Times New Roman" w:cs="Times New Roman"/>
                <w:sz w:val="18"/>
                <w:szCs w:val="18"/>
              </w:rPr>
            </w:pPr>
            <w:r w:rsidRPr="00D423B2">
              <w:rPr>
                <w:rFonts w:ascii="Times New Roman" w:hAnsi="Times New Roman" w:cs="Times New Roman"/>
                <w:sz w:val="18"/>
                <w:szCs w:val="18"/>
              </w:rPr>
              <w:t>Рис. 18. Прогноз динамики потребления электрической энергии</w:t>
            </w:r>
          </w:p>
          <w:p w:rsidR="00B0794C" w:rsidRPr="00D423B2" w:rsidRDefault="00B0794C" w:rsidP="00B0794C">
            <w:pPr>
              <w:jc w:val="center"/>
              <w:rPr>
                <w:rFonts w:ascii="Times New Roman" w:hAnsi="Times New Roman" w:cs="Times New Roman"/>
                <w:sz w:val="18"/>
                <w:szCs w:val="18"/>
              </w:rPr>
            </w:pPr>
            <w:r w:rsidRPr="00D423B2">
              <w:rPr>
                <w:rFonts w:ascii="Times New Roman" w:hAnsi="Times New Roman" w:cs="Times New Roman"/>
                <w:sz w:val="18"/>
                <w:szCs w:val="18"/>
              </w:rPr>
              <w:t>в Республике Татарстан в 2015 - 2030 годах</w:t>
            </w:r>
          </w:p>
          <w:p w:rsidR="002D3082" w:rsidRPr="00D423B2" w:rsidRDefault="002D3082" w:rsidP="00B0794C">
            <w:pPr>
              <w:jc w:val="center"/>
              <w:rPr>
                <w:rFonts w:ascii="Times New Roman" w:hAnsi="Times New Roman" w:cs="Times New Roman"/>
                <w:sz w:val="18"/>
                <w:szCs w:val="18"/>
              </w:rPr>
            </w:pPr>
          </w:p>
          <w:p w:rsidR="002D3082" w:rsidRPr="00D423B2" w:rsidRDefault="002D3082" w:rsidP="00B0794C">
            <w:pPr>
              <w:jc w:val="center"/>
              <w:rPr>
                <w:rFonts w:ascii="Times New Roman" w:hAnsi="Times New Roman" w:cs="Times New Roman"/>
                <w:sz w:val="18"/>
                <w:szCs w:val="18"/>
              </w:rPr>
            </w:pPr>
          </w:p>
          <w:p w:rsidR="002D3082" w:rsidRPr="00D423B2" w:rsidRDefault="002D3082" w:rsidP="00B0794C">
            <w:pPr>
              <w:jc w:val="center"/>
              <w:rPr>
                <w:rFonts w:ascii="Times New Roman" w:hAnsi="Times New Roman" w:cs="Times New Roman"/>
                <w:sz w:val="18"/>
                <w:szCs w:val="18"/>
              </w:rPr>
            </w:pPr>
          </w:p>
          <w:p w:rsidR="002D3082" w:rsidRPr="00D423B2" w:rsidRDefault="002D3082" w:rsidP="00B0794C">
            <w:pPr>
              <w:jc w:val="center"/>
              <w:rPr>
                <w:rFonts w:ascii="Times New Roman" w:hAnsi="Times New Roman" w:cs="Times New Roman"/>
                <w:sz w:val="18"/>
                <w:szCs w:val="18"/>
              </w:rPr>
            </w:pPr>
          </w:p>
          <w:p w:rsidR="00893C28" w:rsidRPr="00D423B2" w:rsidRDefault="002D3082" w:rsidP="00893C28">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135A8F1C" wp14:editId="1430D02F">
                  <wp:extent cx="2476500" cy="12001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14198" cy="1218419"/>
                          </a:xfrm>
                          <a:prstGeom prst="rect">
                            <a:avLst/>
                          </a:prstGeom>
                          <a:noFill/>
                        </pic:spPr>
                      </pic:pic>
                    </a:graphicData>
                  </a:graphic>
                </wp:inline>
              </w:drawing>
            </w:r>
          </w:p>
          <w:p w:rsidR="00E12F31" w:rsidRPr="00D423B2" w:rsidRDefault="00E12F31" w:rsidP="00E12F31">
            <w:pPr>
              <w:jc w:val="center"/>
              <w:rPr>
                <w:rFonts w:ascii="Times New Roman" w:hAnsi="Times New Roman" w:cs="Times New Roman"/>
                <w:sz w:val="18"/>
                <w:szCs w:val="18"/>
              </w:rPr>
            </w:pPr>
            <w:r w:rsidRPr="00D423B2">
              <w:rPr>
                <w:rFonts w:ascii="Times New Roman" w:hAnsi="Times New Roman" w:cs="Times New Roman"/>
                <w:sz w:val="18"/>
                <w:szCs w:val="18"/>
              </w:rPr>
              <w:t>Рис. 19. Прогноз динамики годовых пиковых нагрузок в</w:t>
            </w:r>
          </w:p>
          <w:p w:rsidR="00E12F31" w:rsidRPr="00D423B2" w:rsidRDefault="00E12F31" w:rsidP="00E12F31">
            <w:pPr>
              <w:jc w:val="center"/>
              <w:rPr>
                <w:rFonts w:ascii="Times New Roman" w:hAnsi="Times New Roman" w:cs="Times New Roman"/>
                <w:sz w:val="18"/>
                <w:szCs w:val="18"/>
              </w:rPr>
            </w:pPr>
            <w:r w:rsidRPr="00D423B2">
              <w:rPr>
                <w:rFonts w:ascii="Times New Roman" w:hAnsi="Times New Roman" w:cs="Times New Roman"/>
                <w:sz w:val="18"/>
                <w:szCs w:val="18"/>
              </w:rPr>
              <w:t>Республике Татарстан в 2015 - 2030 годах</w:t>
            </w:r>
          </w:p>
          <w:p w:rsidR="00B907A8" w:rsidRPr="00D423B2" w:rsidRDefault="00B907A8" w:rsidP="00E12F31">
            <w:pPr>
              <w:jc w:val="center"/>
              <w:rPr>
                <w:rFonts w:ascii="Times New Roman" w:hAnsi="Times New Roman" w:cs="Times New Roman"/>
              </w:rPr>
            </w:pPr>
          </w:p>
          <w:p w:rsidR="00B907A8" w:rsidRPr="00D423B2" w:rsidRDefault="00B907A8" w:rsidP="00E12F31">
            <w:pPr>
              <w:jc w:val="center"/>
              <w:rPr>
                <w:rFonts w:ascii="Times New Roman" w:hAnsi="Times New Roman" w:cs="Times New Roman"/>
              </w:rPr>
            </w:pPr>
            <w:r w:rsidRPr="00D423B2">
              <w:rPr>
                <w:rFonts w:ascii="Times New Roman" w:hAnsi="Times New Roman" w:cs="Times New Roman"/>
                <w:noProof/>
                <w:lang w:eastAsia="ru-RU"/>
              </w:rPr>
              <w:drawing>
                <wp:inline distT="0" distB="0" distL="0" distR="0" wp14:anchorId="2FAF5897" wp14:editId="74E67790">
                  <wp:extent cx="1532255" cy="1441417"/>
                  <wp:effectExtent l="0" t="0" r="0" b="698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38907" cy="1447675"/>
                          </a:xfrm>
                          <a:prstGeom prst="rect">
                            <a:avLst/>
                          </a:prstGeom>
                          <a:noFill/>
                        </pic:spPr>
                      </pic:pic>
                    </a:graphicData>
                  </a:graphic>
                </wp:inline>
              </w:drawing>
            </w:r>
          </w:p>
          <w:p w:rsidR="00DB6C6D" w:rsidRPr="00D423B2" w:rsidRDefault="00DB6C6D" w:rsidP="00DB6C6D">
            <w:pPr>
              <w:jc w:val="center"/>
              <w:rPr>
                <w:rFonts w:ascii="Times New Roman" w:hAnsi="Times New Roman" w:cs="Times New Roman"/>
                <w:sz w:val="18"/>
                <w:szCs w:val="18"/>
              </w:rPr>
            </w:pPr>
            <w:r w:rsidRPr="00D423B2">
              <w:rPr>
                <w:rFonts w:ascii="Times New Roman" w:hAnsi="Times New Roman" w:cs="Times New Roman"/>
                <w:sz w:val="18"/>
                <w:szCs w:val="18"/>
              </w:rPr>
              <w:t>Рис. 20. Прогноз структуры потребления электрической</w:t>
            </w:r>
          </w:p>
          <w:p w:rsidR="00DB6C6D" w:rsidRPr="00D423B2" w:rsidRDefault="00DB6C6D" w:rsidP="00DB6C6D">
            <w:pPr>
              <w:jc w:val="center"/>
              <w:rPr>
                <w:rFonts w:ascii="Times New Roman" w:hAnsi="Times New Roman" w:cs="Times New Roman"/>
                <w:sz w:val="18"/>
                <w:szCs w:val="18"/>
              </w:rPr>
            </w:pPr>
            <w:r w:rsidRPr="00D423B2">
              <w:rPr>
                <w:rFonts w:ascii="Times New Roman" w:hAnsi="Times New Roman" w:cs="Times New Roman"/>
                <w:sz w:val="18"/>
                <w:szCs w:val="18"/>
              </w:rPr>
              <w:t>энергии в Республике Татарстан в 2020 - 2030 годах</w:t>
            </w:r>
          </w:p>
          <w:p w:rsidR="00FE2A08" w:rsidRPr="00D423B2" w:rsidRDefault="00FE2A08" w:rsidP="00DB6C6D">
            <w:pPr>
              <w:jc w:val="center"/>
              <w:rPr>
                <w:rFonts w:ascii="Times New Roman" w:hAnsi="Times New Roman" w:cs="Times New Roman"/>
                <w:sz w:val="18"/>
                <w:szCs w:val="18"/>
              </w:rPr>
            </w:pPr>
          </w:p>
          <w:p w:rsidR="00FE2A08" w:rsidRPr="00D423B2" w:rsidRDefault="00FE2A08" w:rsidP="00FE2A0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связи с ежегодным наращиванием темпов развития и, как следствие, увеличением потребления электрической энергии и мощности потребителями Республика Татарстан нуждается в увеличении энергетических мощностей.</w:t>
            </w:r>
          </w:p>
          <w:p w:rsidR="00FE2A08" w:rsidRPr="00D423B2" w:rsidRDefault="00FE2A08" w:rsidP="00DB6C6D">
            <w:pPr>
              <w:jc w:val="center"/>
              <w:rPr>
                <w:rFonts w:ascii="Times New Roman" w:hAnsi="Times New Roman" w:cs="Times New Roman"/>
                <w:sz w:val="24"/>
                <w:szCs w:val="24"/>
              </w:rPr>
            </w:pPr>
          </w:p>
          <w:p w:rsidR="00FE2A08" w:rsidRPr="00D423B2" w:rsidRDefault="00FE2A08" w:rsidP="00DB6C6D">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4885BFEE" wp14:editId="4E20E799">
                  <wp:extent cx="2190750" cy="1255007"/>
                  <wp:effectExtent l="0" t="0" r="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08075" cy="1264932"/>
                          </a:xfrm>
                          <a:prstGeom prst="rect">
                            <a:avLst/>
                          </a:prstGeom>
                          <a:noFill/>
                        </pic:spPr>
                      </pic:pic>
                    </a:graphicData>
                  </a:graphic>
                </wp:inline>
              </w:drawing>
            </w:r>
          </w:p>
          <w:p w:rsidR="007E7F86" w:rsidRPr="00D423B2" w:rsidRDefault="007E7F86" w:rsidP="007E7F86">
            <w:pPr>
              <w:jc w:val="center"/>
              <w:rPr>
                <w:rFonts w:ascii="Times New Roman" w:hAnsi="Times New Roman" w:cs="Times New Roman"/>
                <w:sz w:val="18"/>
                <w:szCs w:val="18"/>
              </w:rPr>
            </w:pPr>
            <w:r w:rsidRPr="00D423B2">
              <w:rPr>
                <w:rFonts w:ascii="Times New Roman" w:hAnsi="Times New Roman" w:cs="Times New Roman"/>
                <w:sz w:val="18"/>
                <w:szCs w:val="18"/>
              </w:rPr>
              <w:t>Рис. 21. Прогноз выработки электрической энергии в</w:t>
            </w:r>
          </w:p>
          <w:p w:rsidR="007E7F86" w:rsidRPr="00D423B2" w:rsidRDefault="007E7F86" w:rsidP="007E7F86">
            <w:pPr>
              <w:jc w:val="center"/>
              <w:rPr>
                <w:rFonts w:ascii="Times New Roman" w:hAnsi="Times New Roman" w:cs="Times New Roman"/>
                <w:sz w:val="18"/>
                <w:szCs w:val="18"/>
              </w:rPr>
            </w:pPr>
            <w:r w:rsidRPr="00D423B2">
              <w:rPr>
                <w:rFonts w:ascii="Times New Roman" w:hAnsi="Times New Roman" w:cs="Times New Roman"/>
                <w:sz w:val="18"/>
                <w:szCs w:val="18"/>
              </w:rPr>
              <w:t>Республике Татарстан в 2013 - 2030 годах</w:t>
            </w:r>
          </w:p>
          <w:p w:rsidR="00D24E25" w:rsidRPr="00D423B2" w:rsidRDefault="00D24E25" w:rsidP="007E7F86">
            <w:pPr>
              <w:jc w:val="center"/>
              <w:rPr>
                <w:rFonts w:ascii="Times New Roman" w:hAnsi="Times New Roman" w:cs="Times New Roman"/>
                <w:sz w:val="24"/>
                <w:szCs w:val="24"/>
              </w:rPr>
            </w:pPr>
          </w:p>
          <w:p w:rsidR="00FE2A08" w:rsidRPr="00D423B2" w:rsidRDefault="00776852" w:rsidP="00DB6C6D">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5F61C620" wp14:editId="44FAA8E5">
                  <wp:extent cx="2012315" cy="1115936"/>
                  <wp:effectExtent l="0" t="0" r="6985" b="825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35945" cy="1129040"/>
                          </a:xfrm>
                          <a:prstGeom prst="rect">
                            <a:avLst/>
                          </a:prstGeom>
                          <a:noFill/>
                        </pic:spPr>
                      </pic:pic>
                    </a:graphicData>
                  </a:graphic>
                </wp:inline>
              </w:drawing>
            </w:r>
          </w:p>
          <w:p w:rsidR="00776852" w:rsidRPr="00D423B2" w:rsidRDefault="00776852" w:rsidP="00DB6C6D">
            <w:pPr>
              <w:jc w:val="center"/>
              <w:rPr>
                <w:rFonts w:ascii="Times New Roman" w:hAnsi="Times New Roman" w:cs="Times New Roman"/>
                <w:sz w:val="24"/>
                <w:szCs w:val="24"/>
              </w:rPr>
            </w:pPr>
          </w:p>
          <w:p w:rsidR="00776852" w:rsidRPr="00D423B2" w:rsidRDefault="00776852" w:rsidP="00776852">
            <w:pPr>
              <w:pStyle w:val="ConsPlusNormal"/>
              <w:ind w:firstLine="540"/>
              <w:jc w:val="center"/>
              <w:rPr>
                <w:rFonts w:ascii="Times New Roman" w:hAnsi="Times New Roman" w:cs="Times New Roman"/>
                <w:sz w:val="18"/>
                <w:szCs w:val="18"/>
              </w:rPr>
            </w:pPr>
            <w:r w:rsidRPr="00D423B2">
              <w:rPr>
                <w:rFonts w:ascii="Times New Roman" w:hAnsi="Times New Roman" w:cs="Times New Roman"/>
                <w:sz w:val="18"/>
                <w:szCs w:val="18"/>
              </w:rPr>
              <w:t>Рис. 22. Прогноз отпуска тепловой энергии</w:t>
            </w:r>
          </w:p>
          <w:p w:rsidR="00776852" w:rsidRPr="00D423B2" w:rsidRDefault="00776852" w:rsidP="00776852">
            <w:pPr>
              <w:pStyle w:val="ConsPlusNormal"/>
              <w:ind w:firstLine="540"/>
              <w:jc w:val="center"/>
              <w:rPr>
                <w:rFonts w:ascii="Times New Roman" w:hAnsi="Times New Roman" w:cs="Times New Roman"/>
                <w:sz w:val="18"/>
                <w:szCs w:val="18"/>
              </w:rPr>
            </w:pPr>
            <w:r w:rsidRPr="00D423B2">
              <w:rPr>
                <w:rFonts w:ascii="Times New Roman" w:hAnsi="Times New Roman" w:cs="Times New Roman"/>
                <w:sz w:val="18"/>
                <w:szCs w:val="18"/>
              </w:rPr>
              <w:t>в Республике Татарстан в 2013 - 2030 годах</w:t>
            </w:r>
          </w:p>
          <w:p w:rsidR="00776852" w:rsidRPr="00D423B2" w:rsidRDefault="00776852" w:rsidP="00776852">
            <w:pPr>
              <w:pStyle w:val="ConsPlusNormal"/>
              <w:ind w:firstLine="540"/>
              <w:jc w:val="center"/>
              <w:rPr>
                <w:rFonts w:ascii="Times New Roman" w:hAnsi="Times New Roman" w:cs="Times New Roman"/>
                <w:sz w:val="24"/>
                <w:szCs w:val="24"/>
              </w:rPr>
            </w:pPr>
          </w:p>
          <w:p w:rsidR="00776852" w:rsidRPr="00D423B2" w:rsidRDefault="00776852" w:rsidP="00776852">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Несмотря на рост объемов производства в промышленности, уровень отпуска тепловой энергии потребителям растет незначительно, что связано с широкомасштабным внедрением мероприятий по энергосбережению крупными промышленными предприятиями.</w:t>
            </w:r>
          </w:p>
          <w:p w:rsidR="00776852" w:rsidRPr="00D423B2" w:rsidRDefault="00776852" w:rsidP="00776852">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перспективе необходимо увеличивать долю производства тепловой энергии в режиме комбинированной выработки.</w:t>
            </w:r>
          </w:p>
          <w:p w:rsidR="00DB2B05" w:rsidRPr="00D423B2" w:rsidRDefault="00DB2B05" w:rsidP="00776852">
            <w:pPr>
              <w:pStyle w:val="ConsPlusNormal"/>
              <w:ind w:firstLine="540"/>
              <w:jc w:val="both"/>
              <w:rPr>
                <w:rFonts w:ascii="Times New Roman" w:hAnsi="Times New Roman" w:cs="Times New Roman"/>
                <w:sz w:val="24"/>
                <w:szCs w:val="24"/>
              </w:rPr>
            </w:pPr>
          </w:p>
          <w:p w:rsidR="00DB2B05" w:rsidRPr="00D423B2" w:rsidRDefault="00DB2B05" w:rsidP="00DB2B05">
            <w:pPr>
              <w:pStyle w:val="ConsPlusNormal"/>
              <w:ind w:firstLine="540"/>
              <w:jc w:val="both"/>
              <w:rPr>
                <w:rFonts w:ascii="Times New Roman" w:hAnsi="Times New Roman" w:cs="Times New Roman"/>
                <w:b/>
                <w:sz w:val="24"/>
                <w:szCs w:val="24"/>
              </w:rPr>
            </w:pPr>
            <w:r w:rsidRPr="00D423B2">
              <w:rPr>
                <w:rFonts w:ascii="Times New Roman" w:hAnsi="Times New Roman" w:cs="Times New Roman"/>
                <w:b/>
                <w:sz w:val="24"/>
                <w:szCs w:val="24"/>
              </w:rPr>
              <w:t>4.2. Основные направления развития энергосистемы Республики Татарстан</w:t>
            </w:r>
          </w:p>
          <w:p w:rsidR="00DB5A09" w:rsidRPr="00D423B2" w:rsidRDefault="00DB5A09" w:rsidP="00DB2B05">
            <w:pPr>
              <w:pStyle w:val="ConsPlusNormal"/>
              <w:ind w:firstLine="540"/>
              <w:jc w:val="both"/>
              <w:rPr>
                <w:rFonts w:ascii="Times New Roman" w:hAnsi="Times New Roman" w:cs="Times New Roman"/>
                <w:b/>
                <w:sz w:val="24"/>
                <w:szCs w:val="24"/>
              </w:rPr>
            </w:pP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Стратегическими целями развития электроэнергетики Республики Татарстан являются:</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надежное снабжение всех потребителей Республики Татарстан электрической и тепловой энергией;</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повышение конкурентоспособности и обеспечение устойчивого развития энергетической отрасли на базе новых современных технологий;</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снижение уровня негативного воздействия на окружающую среду.</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Для реализации указанных целей первостепенное значение имеет модернизация производственных объектов энергосистемы.</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Основные принципы модернизации энергосистемы Республики Татарстан:</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приоритетный ввод объектов, обеспечивающих комбинированное производство электрической и тепловой энергии, снижение удельных расходов топлива, а также уменьшающих негативное воздействие на окружающую среду с вытеснением действующих газовых котельных в зону пиковых тепловых нагрузок;</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максимальное, приоритетное использование систем централизованного теплоснабжения;</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конкурентоспособности электрической энергии и мощности на оптовом рынке электроэнергии и мощности;</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дифференциация используемых видов топлива;</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ликвидация дефицита электрической мощности в республике;</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надежного электроснабжения потребителей;</w:t>
            </w:r>
          </w:p>
          <w:p w:rsidR="00DB5A09" w:rsidRPr="00D423B2" w:rsidRDefault="00DB5A09"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условий опережающего развития инфраструктуры электроснабжения городов и районов Республики Татарстан для создания возможности технологического присоединения к электрическим сетям.</w:t>
            </w:r>
          </w:p>
          <w:p w:rsidR="00966563" w:rsidRPr="00D423B2" w:rsidRDefault="00966563" w:rsidP="00DB5A09">
            <w:pPr>
              <w:pStyle w:val="ConsPlusNormal"/>
              <w:ind w:firstLine="540"/>
              <w:jc w:val="both"/>
              <w:rPr>
                <w:rFonts w:ascii="Times New Roman" w:hAnsi="Times New Roman" w:cs="Times New Roman"/>
                <w:sz w:val="24"/>
                <w:szCs w:val="24"/>
              </w:rPr>
            </w:pPr>
          </w:p>
          <w:p w:rsidR="00966563" w:rsidRPr="00D423B2" w:rsidRDefault="00966563" w:rsidP="00DB5A0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4.2.1. Развитие генерирующих мощностей</w:t>
            </w:r>
          </w:p>
          <w:p w:rsidR="00694359" w:rsidRPr="00D423B2" w:rsidRDefault="00694359" w:rsidP="0069435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целях повышения надежности энергоснабжения потребителей, обеспечения энергетической безопасности и самодостаточности Республики Татарстан, обновления генерирующих мощностей и электросетевого хозяйства предприятиями энергокомплекса начаты и планируются к реализации проекты по вводу новых мощностей, мероприятия по реконструкции существующих.</w:t>
            </w:r>
          </w:p>
          <w:p w:rsidR="00694359" w:rsidRPr="00D423B2" w:rsidRDefault="00694359" w:rsidP="0069435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ОАО "Генерирующая компания" в декабре 2014 года завершено строительство парогазовой установки (далее - ПГУ) мощностью 220 МВт на Казанской ТЭЦ-2.</w:t>
            </w:r>
          </w:p>
          <w:p w:rsidR="00694359" w:rsidRPr="00D423B2" w:rsidRDefault="00694359" w:rsidP="0069435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ОАО "ТГК-16" на Казанской ТЭЦ-3 планируется ввод в 2017 году газотурбинной установки (далее - ГТУ) мощностью 388,6 МВт.</w:t>
            </w:r>
          </w:p>
          <w:p w:rsidR="00694359" w:rsidRPr="00D423B2" w:rsidRDefault="00694359" w:rsidP="0069435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 станции ООО "Нижнекамская ТЭЦ" реализуется проект по увеличению электрической мощности станции до 730 МВт. Ввод установки мощностью в 350 МВт запланирован в 2015 году.</w:t>
            </w:r>
          </w:p>
          <w:p w:rsidR="00694359" w:rsidRPr="00D423B2" w:rsidRDefault="00694359" w:rsidP="0069435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ЗАО "ТГК Уруссинская ГРЭС" прорабатывается строительство энергетических мощностей на базе парогазовых технологий.</w:t>
            </w:r>
          </w:p>
          <w:p w:rsidR="00694359" w:rsidRPr="00D423B2" w:rsidRDefault="00694359" w:rsidP="0069435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 учетом вывода мощностей дополнительно требуется ввод ПГУ мощностью 230 МВт на Казанской ТЭЦ-1 (2018 год), замещение мощностей на Заинской ГРЭС.</w:t>
            </w:r>
          </w:p>
          <w:p w:rsidR="00694359" w:rsidRPr="00D423B2" w:rsidRDefault="00694359" w:rsidP="0069435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Кроме того, рост выработки электроэнергии в республике возможен за счет внедрения в котельных газотурбинного оборудования, обеспечивающего комбинированное производство электрической и тепловой энергии.</w:t>
            </w:r>
          </w:p>
          <w:p w:rsidR="00694359" w:rsidRPr="00D423B2" w:rsidRDefault="00694359" w:rsidP="00694359">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в ОАО "Альметьевские тепловые сети" реализован проект по строительству трех мини-ТЭЦ на базе районных котельных с суммарной электрической мощностью 24 МВт, общая тепловая мощность составит 22,6 МВт. Вырабатываемая на мини-ТЭЦ тепловая энергия используется на нужды горячего водоснабжения потребителей, а электрическая энергия - на собственные нужды котельных, насосных станций ОАО "Альметьевские тепловые сети". Излишки реализуются во внешнюю электрическую сеть на нужды подразделений ОАО "Татнефть".</w:t>
            </w:r>
          </w:p>
          <w:p w:rsidR="004866D6" w:rsidRPr="00D423B2" w:rsidRDefault="004866D6" w:rsidP="004866D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Зеленодольском районе Республики Татарстан запущен крупнейший в России объект малой энергетики - энергоцентр "Майский" по производству электрической и тепловой энергии на базе газопоршневых когенерационных установок фирмы GE Jenbacher (Австрия), входящей в корпорацию General Electric. Совокупная электрическая мощность энергоцентра в настоящее время составляет 54 МВт, тепловая - 110 МВт. В дальнейшем планируется увеличение электрической мощности до 75 МВт.</w:t>
            </w:r>
          </w:p>
          <w:p w:rsidR="004866D6" w:rsidRPr="00D423B2" w:rsidRDefault="004866D6" w:rsidP="004866D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Собственные генерирующие мощности на базе ГТУ по производству электро- и теплоэнергии имеются у ОАО "Нижнекамскнефтехим". Общая электрическая мощность энергоустановок составляет 75 МВт, тепловая - 119 МВт.</w:t>
            </w:r>
          </w:p>
          <w:p w:rsidR="004866D6" w:rsidRPr="00D423B2" w:rsidRDefault="004866D6" w:rsidP="004866D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ОАО "Аммоний" планируется ввод энергоустановки мощностью 31 МВт.</w:t>
            </w:r>
          </w:p>
          <w:p w:rsidR="00694359" w:rsidRPr="00D423B2" w:rsidRDefault="004866D6" w:rsidP="004866D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Таким образом, установленная мощность электростанций субъектов энергетики и экономики в целом с учетом ввода и вывода генерирующих мощностей составит порядка 5838 МВт.</w:t>
            </w:r>
          </w:p>
          <w:p w:rsidR="00371B91" w:rsidRPr="00D423B2" w:rsidRDefault="00371B91" w:rsidP="004866D6">
            <w:pPr>
              <w:pStyle w:val="ConsPlusNormal"/>
              <w:ind w:firstLine="540"/>
              <w:jc w:val="both"/>
              <w:rPr>
                <w:rFonts w:ascii="Times New Roman" w:hAnsi="Times New Roman" w:cs="Times New Roman"/>
                <w:sz w:val="24"/>
                <w:szCs w:val="24"/>
              </w:rPr>
            </w:pPr>
          </w:p>
          <w:p w:rsidR="00371B91" w:rsidRPr="00D423B2" w:rsidRDefault="00371B91" w:rsidP="004866D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4.2.2. Развитие электросетевого хозяйства</w:t>
            </w:r>
          </w:p>
          <w:p w:rsidR="00371B91" w:rsidRPr="00D423B2" w:rsidRDefault="00371B91" w:rsidP="00371B9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Основные направления развития связаны с перспективным развитием электросетевого хозяйства Казанского, Нижнекамского и Уруссинского энергорайонов. Заявленная мощность крупных компаний, расположенных в этих районах, представлена в таблице 15.</w:t>
            </w:r>
          </w:p>
          <w:p w:rsidR="00371B91" w:rsidRPr="00D423B2" w:rsidRDefault="00371B91" w:rsidP="00371B91">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Планируемые мероприятия позволят удовлетворить растущий спрос на электроэнергию, а также повысить качество и надежность электроснабжения всех потребителей Республики Татарстан.</w:t>
            </w:r>
          </w:p>
          <w:p w:rsidR="00371B91" w:rsidRPr="00D423B2" w:rsidRDefault="00371B91" w:rsidP="00371B91">
            <w:pPr>
              <w:pStyle w:val="ConsPlusNormal"/>
              <w:ind w:firstLine="540"/>
              <w:jc w:val="right"/>
              <w:rPr>
                <w:rFonts w:ascii="Times New Roman" w:hAnsi="Times New Roman" w:cs="Times New Roman"/>
                <w:sz w:val="24"/>
                <w:szCs w:val="24"/>
              </w:rPr>
            </w:pPr>
          </w:p>
          <w:p w:rsidR="00371B91" w:rsidRPr="00D423B2" w:rsidRDefault="00371B91" w:rsidP="00371B91">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15</w:t>
            </w:r>
          </w:p>
          <w:p w:rsidR="00371B91" w:rsidRPr="00D423B2" w:rsidRDefault="00371B91" w:rsidP="00371B91">
            <w:pPr>
              <w:widowControl w:val="0"/>
              <w:autoSpaceDE w:val="0"/>
              <w:autoSpaceDN w:val="0"/>
              <w:jc w:val="center"/>
              <w:rPr>
                <w:rFonts w:ascii="Times New Roman" w:eastAsia="Times New Roman" w:hAnsi="Times New Roman" w:cs="Times New Roman"/>
                <w:sz w:val="24"/>
                <w:szCs w:val="24"/>
                <w:lang w:eastAsia="ru-RU"/>
              </w:rPr>
            </w:pPr>
          </w:p>
          <w:p w:rsidR="00371B91" w:rsidRPr="00D423B2" w:rsidRDefault="00371B91" w:rsidP="00371B91">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Основные крупные заявители по ОАО "Сетевая компания"</w:t>
            </w:r>
          </w:p>
          <w:p w:rsidR="00371B91" w:rsidRPr="00D423B2" w:rsidRDefault="00371B91" w:rsidP="004866D6">
            <w:pPr>
              <w:pStyle w:val="ConsPlusNormal"/>
              <w:ind w:firstLine="540"/>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060"/>
              <w:gridCol w:w="472"/>
              <w:gridCol w:w="472"/>
              <w:gridCol w:w="472"/>
              <w:gridCol w:w="472"/>
              <w:gridCol w:w="472"/>
              <w:gridCol w:w="763"/>
              <w:gridCol w:w="946"/>
            </w:tblGrid>
            <w:tr w:rsidR="00D423B2" w:rsidRPr="00D423B2" w:rsidTr="00AC7D56">
              <w:trPr>
                <w:trHeight w:val="386"/>
              </w:trPr>
              <w:tc>
                <w:tcPr>
                  <w:tcW w:w="1060" w:type="dxa"/>
                  <w:vMerge w:val="restart"/>
                  <w:vAlign w:val="center"/>
                </w:tcPr>
                <w:p w:rsidR="001E6810" w:rsidRPr="00D423B2" w:rsidRDefault="001E6810" w:rsidP="001E6810">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Наименование предприятия</w:t>
                  </w:r>
                </w:p>
              </w:tc>
              <w:tc>
                <w:tcPr>
                  <w:tcW w:w="3123" w:type="dxa"/>
                  <w:gridSpan w:val="6"/>
                  <w:vAlign w:val="center"/>
                </w:tcPr>
                <w:p w:rsidR="001E6810" w:rsidRPr="00D423B2" w:rsidRDefault="001E6810" w:rsidP="001E6810">
                  <w:pPr>
                    <w:pStyle w:val="ConsPlusNormal"/>
                    <w:jc w:val="center"/>
                    <w:rPr>
                      <w:sz w:val="16"/>
                      <w:szCs w:val="16"/>
                    </w:rPr>
                  </w:pPr>
                  <w:r w:rsidRPr="00D423B2">
                    <w:rPr>
                      <w:sz w:val="16"/>
                      <w:szCs w:val="16"/>
                    </w:rPr>
                    <w:t>Заявленная мощность, МВт</w:t>
                  </w:r>
                </w:p>
              </w:tc>
              <w:tc>
                <w:tcPr>
                  <w:tcW w:w="946" w:type="dxa"/>
                  <w:vMerge w:val="restart"/>
                  <w:vAlign w:val="center"/>
                </w:tcPr>
                <w:p w:rsidR="001E6810" w:rsidRPr="00D423B2" w:rsidRDefault="001E6810" w:rsidP="001E6810">
                  <w:pPr>
                    <w:pStyle w:val="ConsPlusNormal"/>
                    <w:jc w:val="center"/>
                    <w:rPr>
                      <w:sz w:val="16"/>
                      <w:szCs w:val="16"/>
                    </w:rPr>
                  </w:pPr>
                  <w:r w:rsidRPr="00D423B2">
                    <w:rPr>
                      <w:sz w:val="16"/>
                      <w:szCs w:val="16"/>
                    </w:rPr>
                    <w:t>Наименование энергорайона</w:t>
                  </w:r>
                </w:p>
              </w:tc>
            </w:tr>
            <w:tr w:rsidR="00D423B2" w:rsidRPr="00D423B2" w:rsidTr="00AC7D56">
              <w:trPr>
                <w:trHeight w:val="665"/>
              </w:trPr>
              <w:tc>
                <w:tcPr>
                  <w:tcW w:w="1060" w:type="dxa"/>
                  <w:vMerge/>
                </w:tcPr>
                <w:p w:rsidR="001E6810" w:rsidRPr="00D423B2" w:rsidRDefault="001E6810" w:rsidP="001E6810">
                  <w:pPr>
                    <w:rPr>
                      <w:rFonts w:ascii="Times New Roman" w:hAnsi="Times New Roman" w:cs="Times New Roman"/>
                      <w:sz w:val="16"/>
                      <w:szCs w:val="16"/>
                    </w:rPr>
                  </w:pPr>
                </w:p>
              </w:tc>
              <w:tc>
                <w:tcPr>
                  <w:tcW w:w="472" w:type="dxa"/>
                  <w:vAlign w:val="center"/>
                </w:tcPr>
                <w:p w:rsidR="001E6810" w:rsidRPr="00D423B2" w:rsidRDefault="001E6810" w:rsidP="001E6810">
                  <w:pPr>
                    <w:pStyle w:val="ConsPlusNormal"/>
                    <w:jc w:val="center"/>
                    <w:rPr>
                      <w:sz w:val="16"/>
                      <w:szCs w:val="16"/>
                    </w:rPr>
                  </w:pPr>
                  <w:r w:rsidRPr="00D423B2">
                    <w:rPr>
                      <w:sz w:val="16"/>
                      <w:szCs w:val="16"/>
                    </w:rPr>
                    <w:t>к 2014</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к 2015</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к 2016</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к 2017</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к 2018</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максимальная</w:t>
                  </w:r>
                </w:p>
              </w:tc>
              <w:tc>
                <w:tcPr>
                  <w:tcW w:w="946" w:type="dxa"/>
                  <w:vMerge/>
                </w:tcPr>
                <w:p w:rsidR="001E6810" w:rsidRPr="00D423B2" w:rsidRDefault="001E6810" w:rsidP="001E6810">
                  <w:pPr>
                    <w:rPr>
                      <w:sz w:val="16"/>
                      <w:szCs w:val="16"/>
                    </w:rPr>
                  </w:pPr>
                </w:p>
              </w:tc>
            </w:tr>
            <w:tr w:rsidR="00D423B2" w:rsidRPr="00D423B2" w:rsidTr="00AC7D56">
              <w:trPr>
                <w:trHeight w:val="277"/>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Комплекс "ТАНЕКО"</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89,61</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90,98</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90,98</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133,33</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133,33</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273</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Нижнекамский</w:t>
                  </w:r>
                </w:p>
              </w:tc>
            </w:tr>
            <w:tr w:rsidR="00D423B2" w:rsidRPr="00D423B2" w:rsidTr="00AC7D56">
              <w:trPr>
                <w:trHeight w:val="293"/>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ОЭЗ "Алабуга"</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110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130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152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194</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245</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568</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Нижнекамский</w:t>
                  </w:r>
                </w:p>
              </w:tc>
            </w:tr>
            <w:tr w:rsidR="00D423B2" w:rsidRPr="00D423B2" w:rsidTr="00AC7D56">
              <w:trPr>
                <w:trHeight w:val="774"/>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ОАО "Аммоний" (с учетом нагрузки ООО "Менделеевск-азот")</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32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32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32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32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32</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32</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Нижнекамский</w:t>
                  </w:r>
                </w:p>
              </w:tc>
            </w:tr>
            <w:tr w:rsidR="00D423B2" w:rsidRPr="00D423B2" w:rsidTr="00AC7D56">
              <w:trPr>
                <w:trHeight w:val="293"/>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ОАО "ОЭЗ Иннополис"</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8,2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8,2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8,2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25,4</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25,4</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48,5</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Буинский</w:t>
                  </w:r>
                </w:p>
              </w:tc>
            </w:tr>
            <w:tr w:rsidR="00D423B2" w:rsidRPr="00D423B2" w:rsidTr="00AC7D56">
              <w:trPr>
                <w:trHeight w:val="525"/>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УК "Новая Тура", г. Казань</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14,9</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14,9</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14,9</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14,9</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14,9</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14,9</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Казанский</w:t>
                  </w:r>
                </w:p>
              </w:tc>
            </w:tr>
            <w:tr w:rsidR="00D423B2" w:rsidRPr="00D423B2" w:rsidTr="00AC7D56">
              <w:trPr>
                <w:trHeight w:val="277"/>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ЗАО "ТатСталь"</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152,5</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152,5</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Уруссинский</w:t>
                  </w:r>
                </w:p>
              </w:tc>
            </w:tr>
            <w:tr w:rsidR="00D423B2" w:rsidRPr="00D423B2" w:rsidTr="00AC7D56">
              <w:trPr>
                <w:trHeight w:val="525"/>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КГПТО ОАО "ТАИФ-НК"</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82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82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82</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82</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Нижнекамский</w:t>
                  </w:r>
                </w:p>
              </w:tc>
            </w:tr>
            <w:tr w:rsidR="00D423B2" w:rsidRPr="00D423B2" w:rsidTr="00AC7D56">
              <w:trPr>
                <w:trHeight w:val="525"/>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ОАО "НКНХ" (с субабонентами)</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398,63</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398,63</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573,27</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573,27</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573,27</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573,27</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Нижнекамский</w:t>
                  </w:r>
                </w:p>
              </w:tc>
            </w:tr>
            <w:tr w:rsidR="00D423B2" w:rsidRPr="00D423B2" w:rsidTr="00AC7D56">
              <w:trPr>
                <w:trHeight w:val="525"/>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ООО "Кама Кристалл Технолоджи"</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13,474</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19,91</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26,63</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26,63</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26,63</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26,63</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Нижнекамский</w:t>
                  </w:r>
                </w:p>
              </w:tc>
            </w:tr>
            <w:tr w:rsidR="00D423B2" w:rsidRPr="00D423B2" w:rsidTr="00AC7D56">
              <w:trPr>
                <w:trHeight w:val="789"/>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ЗАО "ПК "ЗТЭО" (с учетом существующей нагрузки)</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130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130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130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130</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130</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130</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Нижнекамский</w:t>
                  </w:r>
                </w:p>
              </w:tc>
            </w:tr>
            <w:tr w:rsidR="00D423B2" w:rsidRPr="00D423B2" w:rsidTr="00AC7D56">
              <w:trPr>
                <w:trHeight w:val="541"/>
              </w:trPr>
              <w:tc>
                <w:tcPr>
                  <w:tcW w:w="1060" w:type="dxa"/>
                  <w:vAlign w:val="center"/>
                </w:tcPr>
                <w:p w:rsidR="001E6810" w:rsidRPr="00D423B2" w:rsidRDefault="001E6810" w:rsidP="001E6810">
                  <w:pPr>
                    <w:pStyle w:val="ConsPlusNormal"/>
                    <w:rPr>
                      <w:rFonts w:ascii="Times New Roman" w:hAnsi="Times New Roman" w:cs="Times New Roman"/>
                      <w:sz w:val="16"/>
                      <w:szCs w:val="16"/>
                    </w:rPr>
                  </w:pPr>
                  <w:r w:rsidRPr="00D423B2">
                    <w:rPr>
                      <w:rFonts w:ascii="Times New Roman" w:hAnsi="Times New Roman" w:cs="Times New Roman"/>
                      <w:sz w:val="16"/>
                      <w:szCs w:val="16"/>
                    </w:rPr>
                    <w:t>МИТ "СМАРТ Сити Казань"</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2</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15</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24</w:t>
                  </w:r>
                </w:p>
              </w:tc>
              <w:tc>
                <w:tcPr>
                  <w:tcW w:w="472" w:type="dxa"/>
                  <w:vAlign w:val="center"/>
                </w:tcPr>
                <w:p w:rsidR="001E6810" w:rsidRPr="00D423B2" w:rsidRDefault="001E6810" w:rsidP="001E6810">
                  <w:pPr>
                    <w:pStyle w:val="ConsPlusNormal"/>
                    <w:jc w:val="center"/>
                    <w:rPr>
                      <w:sz w:val="16"/>
                      <w:szCs w:val="16"/>
                    </w:rPr>
                  </w:pPr>
                  <w:r w:rsidRPr="00D423B2">
                    <w:rPr>
                      <w:sz w:val="16"/>
                      <w:szCs w:val="16"/>
                    </w:rPr>
                    <w:t>24</w:t>
                  </w:r>
                </w:p>
              </w:tc>
              <w:tc>
                <w:tcPr>
                  <w:tcW w:w="760" w:type="dxa"/>
                  <w:vAlign w:val="center"/>
                </w:tcPr>
                <w:p w:rsidR="001E6810" w:rsidRPr="00D423B2" w:rsidRDefault="001E6810" w:rsidP="001E6810">
                  <w:pPr>
                    <w:pStyle w:val="ConsPlusNormal"/>
                    <w:jc w:val="center"/>
                    <w:rPr>
                      <w:sz w:val="16"/>
                      <w:szCs w:val="16"/>
                    </w:rPr>
                  </w:pPr>
                  <w:r w:rsidRPr="00D423B2">
                    <w:rPr>
                      <w:sz w:val="16"/>
                      <w:szCs w:val="16"/>
                    </w:rPr>
                    <w:t>40</w:t>
                  </w:r>
                </w:p>
              </w:tc>
              <w:tc>
                <w:tcPr>
                  <w:tcW w:w="946" w:type="dxa"/>
                  <w:vAlign w:val="center"/>
                </w:tcPr>
                <w:p w:rsidR="001E6810" w:rsidRPr="00D423B2" w:rsidRDefault="001E6810" w:rsidP="001E6810">
                  <w:pPr>
                    <w:pStyle w:val="ConsPlusNormal"/>
                    <w:jc w:val="center"/>
                    <w:rPr>
                      <w:sz w:val="16"/>
                      <w:szCs w:val="16"/>
                    </w:rPr>
                  </w:pPr>
                  <w:r w:rsidRPr="00D423B2">
                    <w:rPr>
                      <w:sz w:val="16"/>
                      <w:szCs w:val="16"/>
                    </w:rPr>
                    <w:t>Казанский</w:t>
                  </w:r>
                </w:p>
              </w:tc>
            </w:tr>
          </w:tbl>
          <w:p w:rsidR="00776852" w:rsidRPr="00D423B2" w:rsidRDefault="00776852" w:rsidP="00DB6C6D">
            <w:pPr>
              <w:jc w:val="center"/>
              <w:rPr>
                <w:rFonts w:ascii="Times New Roman" w:hAnsi="Times New Roman" w:cs="Times New Roman"/>
                <w:sz w:val="24"/>
                <w:szCs w:val="24"/>
              </w:rPr>
            </w:pP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Выполнение мероприятий по развитию электросетевого хозяйства направлено на решение основных проблем:</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повышенная загрузка автотрансформаторов 500/220 ПС Киндери и Бугульма. Загрузка АТ данных ПС находится в диапазоне значений 55 - 90 процентов;</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повышенная загрузка ряда кабельных и воздушных линий электропередачи и трансформаторов сети 220 - 110 кВ;</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возникновение перегрузок в сетях 110 - 220 кВ при отключении элементов сети 500 кВ;</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большие величины токов короткого замыкания и недостаточная отключающая способность выключателей 500, 220 и 110 кВ вызывают необходимость применения различных мероприятий по ограничению разрывов электрической сети;</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сложность регулирования напряжения в сети энергосистемы Республики Татарстан по причине недостаточности и низкой эффективности средств управления и компенсации реактивной мощности, отсутствия работоспособных устройств;</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регулирование под нагрузкой на АТ;</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отсутствие достаточного числа регулируемых средств управления и компенсации реактивной мощности на напряжении 110 - 220 кВ;</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необходимость компактного исполнения объектов электрических сетей вследствие высокой стоимости земли.</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 решении основных проблем должны применяться концептуальные подходы к развитию электросетевого хозяйства:</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схема основной электрической сети должна обладать достаточной гибкостью, позволяющей осуществлять ее поэтапное развитие и иметь возможность приспосабливаться к изменению условий роста нагрузки и развитию электростанций;</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схема и параметры распределительных сетей должны обеспечивать надежность электроснабжения, при котором питание потребителей осуществляется без ограничения нагрузки с соблюдением нормативных требований к качеству электроэнергии при полной схеме сети и при выводе в ремонт одной ВЛ или автотрансформатора (или трансформатора);</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перспективная схема электрической сети энергосистемы Республики Татарстан не должна предусматривать использование противоаварийной автоматики при нормативном возмущении в нормальной и единичной ремонтной схеме;</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применение противоаварийного управления допускается только на базе локальных устройств противоаварийной автоматики;</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покрытие дефицита мощности и энергии энергосистемы Республики Татарстан за счет сооружения новых генерирующих объектов на существующих электростанциях в комплексе с осуществлением внешнего энергоснабжения от электростанций ОЭС Средней Волги по линиям электропередач высокого напряжения и технического перевооружения действующих электростанций;</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условиях высокой плотности нагрузки, обеспечения надежности и эффективности энергоснабжения в крупных городах Республики Татарстан центры питания должны быть максимально приближены к центрам нагрузок и обеспечивать требования по надежности,</w:t>
            </w:r>
            <w:r w:rsidRPr="00D423B2">
              <w:rPr>
                <w:sz w:val="24"/>
                <w:szCs w:val="24"/>
              </w:rPr>
              <w:t xml:space="preserve"> </w:t>
            </w:r>
            <w:r w:rsidRPr="00D423B2">
              <w:rPr>
                <w:rFonts w:ascii="Times New Roman" w:hAnsi="Times New Roman" w:cs="Times New Roman"/>
                <w:sz w:val="24"/>
                <w:szCs w:val="24"/>
              </w:rPr>
              <w:t>регулированию частоты и активной мощности, регулированию напряжения и реактивной мощности как в условиях параллельной работы в энергосистеме, так и в условиях изолированной работы на выделенную нагрузку;</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техническое перевооружение электрических сетей должно предусматривать повышение пропускной способности, в том числе путем перевода ВЛ и ПС на более высокий класс напряжения;</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широкое использование кабельных сетей высокой пропускной способности и закрытых ПС с применением в распределительных устройствах высшего напряжения элегазового оборудования в городских районах массовой застройки;</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проведение реконструкции ПС мощностью 110 - 500 кВ открытого типа и ВЛ, проходящих в черте города, путем сооружения на месте существующих новых ПС, выполненных по новейшим технологиям. Реконструкция ВЛ планируется путем перевода их в кабельные линии;</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применение новых технологий и оборудования при управлении потокораспределением, уровнями напряжения;</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применение новых технологий и оборудования, ограничивающего токи КЗ;</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поэтапная замена выключателей на 110 кВ и выше, отработавших нормативный срок и имеющих не соответствующую уровням токов КЗ отключающую способность;</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применение новых типов силового и коммутационного оборудования, созданного на основе новых материалов, передовых технологий, на ПС - элегазовых выключателей, комплектных распределительных устройств с элегазовой изоляцией на ПС мощностью 110, 220, 500 кВ, трехфазные АТ мощностью 500 кВ;</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большей пропускной способности, снижение потерь, защита от внешних воздействий линий электропередач - применение композитных проводов и кабелей из сшитого полиэтилена большой пропускной способности.</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Дальнейшее развитие электросетевого хозяйства связано с системой противоаварийной и режимной автоматики, телемеханики и связи, автоматизированных систем учета электроэнергии.</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соответствии с Соглашением о технологическом взаимодействии между системным оператором ОАО "Единая энергетическая система России" и ОАО "Сетевая компания", в целях обеспечения надежности функционирования ЕЭС, ОАО "Сетевая компания" обязана:</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обеспечивать функционирование систем обмена технологической информацией энергообъектов ОАО "Сетевая компания" с региональным диспетчерским управлением Татарстана;</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выполнять предусмотренные планом-графиком мероприятия по:</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передаче телеметрической информации в региональное диспетчерское управление Татарстана;</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дистанционному вводу отключения потребителей;</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внедрению системы мониторинга и сбора аварийной информации с устройств релейной защиты и противоаварийной автоматики.</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Невыполнение этих работ может привести к технологическим нарушениям в системообразующей сети Республики Татарстан и прилегающих к ней регионов.</w:t>
            </w:r>
          </w:p>
          <w:p w:rsidR="0074438C" w:rsidRPr="00D423B2" w:rsidRDefault="0074438C" w:rsidP="0074438C">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Внедрение автоматизированных систем учета электроэнергии обеспечивает расширение функций контроля режима работы электросети, позволяет на основании анализа перетоков активной и реактивной энергии прогнозировать загрузку линий электропередач, оборудования ПС ОАО "Сетевая компания" и потребителей, разрабатывать мероприятия по вводу компенсирующих устройств в узлах электрической сети и у потребителей, что в конечном итоге снижает потери в электрических сетях.</w:t>
            </w:r>
          </w:p>
          <w:p w:rsidR="008210EF" w:rsidRPr="00D423B2" w:rsidRDefault="008210EF" w:rsidP="008210E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в ОАО "Сетевая компания" ведется внедрение и развитие интеллектуальной активно-адаптивной сети "Smart Grid".</w:t>
            </w:r>
          </w:p>
          <w:p w:rsidR="008210EF" w:rsidRPr="00D423B2" w:rsidRDefault="008210EF" w:rsidP="008210E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соответствии с общепринятым мнением "Smart Grid" - это максимально автоматизированная сеть, сочетающая в себе инструменты управления, контроля и мониторинга, информационные технологии и средства коммуникации, обеспечивающие параллельно поток электроэнергии и информации от электростанции до потребителя, а также:</w:t>
            </w:r>
          </w:p>
          <w:p w:rsidR="008210EF" w:rsidRPr="00D423B2" w:rsidRDefault="008210EF" w:rsidP="008210E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заданный уровень надежности и качества электроснабжения потребителей;</w:t>
            </w:r>
          </w:p>
          <w:p w:rsidR="008210EF" w:rsidRPr="00D423B2" w:rsidRDefault="008210EF" w:rsidP="008210E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снижение потерь электроэнергии в элементах сети;</w:t>
            </w:r>
          </w:p>
          <w:p w:rsidR="008210EF" w:rsidRPr="00D423B2" w:rsidRDefault="008210EF" w:rsidP="008210E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оптимальные затраты на эксплуатацию;</w:t>
            </w:r>
          </w:p>
          <w:p w:rsidR="008210EF" w:rsidRPr="00D423B2" w:rsidRDefault="008210EF" w:rsidP="008210E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создание потребителям условий для оптимизации затрат на пользование электроэнергией.</w:t>
            </w:r>
          </w:p>
          <w:p w:rsidR="00BA35AE" w:rsidRPr="00D423B2" w:rsidRDefault="00BA35AE" w:rsidP="00BA35A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"Интеллектуальная сеть" - это переход электроэнергетики на качественно новый технологический уровень, возможность наиболее эффективными средствами решить основные проблемы энергетического и электросетевого хозяйства.</w:t>
            </w:r>
          </w:p>
          <w:p w:rsidR="00BA35AE" w:rsidRPr="00D423B2" w:rsidRDefault="00BA35AE" w:rsidP="00BA35A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Наиболее перспективным представляется следующее направление - внедрение систем автоматического секционирования и децентрализованной автоматизации управления аварийными режимами функционирования распределительной сети, построенных на базе интеллектуальных коммутационных аппаратов (реклоузеров, выключателей нагрузки, управляемых разъединителей).</w:t>
            </w:r>
          </w:p>
          <w:p w:rsidR="00BA35AE" w:rsidRPr="00D423B2" w:rsidRDefault="00BA35AE" w:rsidP="00BA35A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Вторым направлением внедрения интеллектуальных сетей является развитие интегрированной автоматизированной системы учета электроэнергии уровня предприятия электрических сетей.</w:t>
            </w:r>
          </w:p>
          <w:p w:rsidR="00BA35AE" w:rsidRPr="00D423B2" w:rsidRDefault="00BA35AE" w:rsidP="00BA35A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Основным и наиболее перспективным решением задачи является применение автоматизированных информационно-измерительных систем учета электроэнергии.</w:t>
            </w:r>
          </w:p>
          <w:p w:rsidR="00D771E4" w:rsidRPr="00D423B2" w:rsidRDefault="00D771E4" w:rsidP="00D771E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Третье направление внедрения интеллектуальных сетей - это создание объекта "Цифровая подстанция" в ОАО "Сетевая компания".</w:t>
            </w:r>
          </w:p>
          <w:p w:rsidR="00D771E4" w:rsidRPr="00D423B2" w:rsidRDefault="00D771E4" w:rsidP="00D771E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Намеченный к реализации проект "Цифровая подстанция" позволяет создать в Республике Татарстан автоматизированные ПС, на которых управление, релейная защита, автоматика, измерение и учет функционируют в цифровом формате, включая устройства управления силовым и коммутационным оборудованием, а также автоконтроль их технического состояния. Появление подобных ПС является точкой отсчета перехода электроэнергетики на качественно новый уровень. При этом существенно меняются устоявшиеся в течение многих лет нормативные документы по эксплуатации оборудования, периодичность и объемы ремонта, численность и квалификация персонала, занятого на эксплуатации, и многое другое.</w:t>
            </w:r>
          </w:p>
          <w:p w:rsidR="00D771E4" w:rsidRPr="00D423B2" w:rsidRDefault="00D771E4" w:rsidP="00BA35AE">
            <w:pPr>
              <w:pStyle w:val="ConsPlusNormal"/>
              <w:ind w:firstLine="540"/>
              <w:jc w:val="both"/>
              <w:rPr>
                <w:rFonts w:ascii="Times New Roman" w:hAnsi="Times New Roman" w:cs="Times New Roman"/>
                <w:sz w:val="24"/>
                <w:szCs w:val="24"/>
              </w:rPr>
            </w:pPr>
          </w:p>
          <w:p w:rsidR="00BA35AE" w:rsidRPr="00D423B2" w:rsidRDefault="00FA2FB3" w:rsidP="008210EF">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4.2.3. Особенности развития систем теплоснабжения</w:t>
            </w:r>
          </w:p>
          <w:p w:rsidR="00FA2FB3" w:rsidRPr="00D423B2" w:rsidRDefault="00FA2FB3" w:rsidP="00FA2FB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Двумя основными альтернативами развития систем теплоснабжения являются их централизация и децентрализация.</w:t>
            </w:r>
          </w:p>
          <w:p w:rsidR="00FA2FB3" w:rsidRPr="00D423B2" w:rsidRDefault="00FA2FB3" w:rsidP="00FA2FB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основным способом теплоснабжения потребителей в крупных и средних городах Республики Татарстан является централизованное теплоснабжение.</w:t>
            </w:r>
          </w:p>
          <w:p w:rsidR="00FA2FB3" w:rsidRPr="00D423B2" w:rsidRDefault="00FA2FB3" w:rsidP="00FA2FB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соответствии с Федеральным законом от 27 июля 2010 года N 190-ФЗ "О теплоснабжении" основными принципами организации отношений в сфере теплоснабжения определены:</w:t>
            </w:r>
          </w:p>
          <w:p w:rsidR="00FA2FB3" w:rsidRPr="00D423B2" w:rsidRDefault="00FA2FB3" w:rsidP="00FA2FB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приоритетного использования комбинированной выработки электрической и тепловой энергии для организации теплоснабжения;</w:t>
            </w:r>
          </w:p>
          <w:p w:rsidR="00FA2FB3" w:rsidRPr="00D423B2" w:rsidRDefault="00FA2FB3" w:rsidP="00FA2FB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развитие систем централизованного теплоснабжения.</w:t>
            </w:r>
          </w:p>
          <w:p w:rsidR="00FA2FB3" w:rsidRPr="00D423B2" w:rsidRDefault="00FA2FB3" w:rsidP="00FA2FB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Основными достоинствами систем централизованного теплоснабжения, которые достигаются при преимущественном использовании комбинированной выработки тепловой и электрической энергии, являются экономия топливных ресурсов и снижение антропогенной нагрузки на окружающую среду. Однако для их достижения необходимы большие капиталовложения для модернизации генерирующих мощностей и тепловых сетей.</w:t>
            </w:r>
          </w:p>
          <w:p w:rsidR="00FA2FB3" w:rsidRPr="00D423B2" w:rsidRDefault="00FA2FB3" w:rsidP="00FA2FB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Децентрализация систем теплоснабжения предполагает использование источников тепла малой и средней мощности для обеспечения нужд отдельных потребителей. Использование автономных источников тепла позволяет снизить потери в тепловых сетях, выбросы продуктов химподготовки, свести к минимуму потери сетевой воды, исключить необходимость проведения большого объема работ по прокладке теплотрасс.</w:t>
            </w:r>
          </w:p>
          <w:p w:rsidR="00FA2FB3" w:rsidRPr="00D423B2" w:rsidRDefault="00FA2FB3" w:rsidP="00FA2FB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Необходимо оптимальное сочетание централизованных и децентрализованных систем отопления исходя из экономической целесообразности. Автономные системы теплоснабжения экономически оправданы в небольших населенных пунктах с малоэтажной застройкой и некоторых городских районах с объективно дорогим подключением к централизованным тепловым сетям.</w:t>
            </w:r>
          </w:p>
          <w:p w:rsidR="00225A31" w:rsidRPr="00D423B2" w:rsidRDefault="00225A31" w:rsidP="00FA2FB3">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зонах, где централизованное теплоснабжение экономически оправдано, целесообразно добиваться подключения к ней максимального количества потребителей. Отключение части потребителей от теплоснабжающей сети приводит к объективному удорожанию этой услуги для оставшихся потребителей и снижению технико-экономических показателей теплоснабжающей организации.</w:t>
            </w:r>
          </w:p>
          <w:p w:rsidR="00E50BCF" w:rsidRPr="00D423B2" w:rsidRDefault="00E50BCF" w:rsidP="00E50BCF">
            <w:pPr>
              <w:jc w:val="center"/>
              <w:rPr>
                <w:rFonts w:ascii="Times New Roman" w:hAnsi="Times New Roman" w:cs="Times New Roman"/>
                <w:b/>
                <w:sz w:val="28"/>
                <w:szCs w:val="28"/>
              </w:rPr>
            </w:pPr>
          </w:p>
          <w:p w:rsidR="008210EF" w:rsidRPr="00D423B2" w:rsidRDefault="00E50BCF" w:rsidP="00E50BCF">
            <w:pPr>
              <w:jc w:val="center"/>
              <w:rPr>
                <w:rFonts w:ascii="Times New Roman" w:hAnsi="Times New Roman" w:cs="Times New Roman"/>
                <w:b/>
                <w:sz w:val="24"/>
                <w:szCs w:val="24"/>
              </w:rPr>
            </w:pPr>
            <w:r w:rsidRPr="00D423B2">
              <w:rPr>
                <w:rFonts w:ascii="Times New Roman" w:hAnsi="Times New Roman" w:cs="Times New Roman"/>
                <w:b/>
                <w:sz w:val="24"/>
                <w:szCs w:val="24"/>
              </w:rPr>
              <w:t>4.3. Энергосбережение и повышение энергетической эффективности</w:t>
            </w:r>
          </w:p>
          <w:p w:rsidR="0074438C" w:rsidRPr="00D423B2" w:rsidRDefault="0074438C" w:rsidP="00DB6C6D">
            <w:pPr>
              <w:jc w:val="center"/>
              <w:rPr>
                <w:rFonts w:ascii="Times New Roman" w:hAnsi="Times New Roman" w:cs="Times New Roman"/>
                <w:sz w:val="24"/>
                <w:szCs w:val="24"/>
              </w:rPr>
            </w:pPr>
          </w:p>
          <w:p w:rsidR="008D36D2" w:rsidRPr="00D423B2" w:rsidRDefault="008D36D2" w:rsidP="008D36D2">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Для оценки эффективного использования энергоресурсов в Республике Татарстан используется индикатор энергоемкости валового регионального продукта (далее - ВРП) как отношение объемов потребляемых первичных энергоносителей в тоннах условного топлива к ВРП в сопоставимых ценах 2007 года, динамика которого представлена на рисунке 23.</w:t>
            </w:r>
          </w:p>
          <w:p w:rsidR="008D36D2" w:rsidRPr="00D423B2" w:rsidRDefault="008D36D2" w:rsidP="008D36D2">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Наблюдается постепенное снижение индикатора, что свидетельствует о снижении энергоемкости ВРП в натуральных показателях по первичным энергоносителям. Снижение индикатора энергоемкости в 2013 году составило 4,9 процента к уровню 2012 года и 23,4 процента - к уровню 2007 года. Среднегодовые темпы снижения энергоемкости внутреннего регионального продукта Республики Татарстан составили 4,3 процента, что превосходит темпы снижения энергоемкости внутреннего валового продукта России, запланированного Энергетической стратегией Российской Федерации.</w:t>
            </w:r>
          </w:p>
          <w:p w:rsidR="00E50BCF" w:rsidRPr="00D423B2" w:rsidRDefault="00E50BCF" w:rsidP="00DB6C6D">
            <w:pPr>
              <w:jc w:val="center"/>
              <w:rPr>
                <w:rFonts w:ascii="Times New Roman" w:hAnsi="Times New Roman" w:cs="Times New Roman"/>
                <w:sz w:val="24"/>
                <w:szCs w:val="24"/>
              </w:rPr>
            </w:pPr>
          </w:p>
          <w:p w:rsidR="002D3082" w:rsidRPr="00D423B2" w:rsidRDefault="00BE6EB4" w:rsidP="00893C28">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5F2E28EA" wp14:editId="08E47D0A">
                  <wp:extent cx="2395220" cy="1379468"/>
                  <wp:effectExtent l="0" t="0" r="508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16379" cy="1391654"/>
                          </a:xfrm>
                          <a:prstGeom prst="rect">
                            <a:avLst/>
                          </a:prstGeom>
                          <a:noFill/>
                        </pic:spPr>
                      </pic:pic>
                    </a:graphicData>
                  </a:graphic>
                </wp:inline>
              </w:drawing>
            </w:r>
          </w:p>
          <w:p w:rsidR="00BE6EB4" w:rsidRPr="00D423B2" w:rsidRDefault="00BE6EB4" w:rsidP="00893C28">
            <w:pPr>
              <w:jc w:val="center"/>
              <w:rPr>
                <w:rFonts w:ascii="Times New Roman" w:hAnsi="Times New Roman" w:cs="Times New Roman"/>
                <w:sz w:val="24"/>
                <w:szCs w:val="24"/>
              </w:rPr>
            </w:pPr>
          </w:p>
          <w:p w:rsidR="004D4426" w:rsidRPr="00D423B2" w:rsidRDefault="004D4426" w:rsidP="004D4426">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Рис. 23. Фактическая и прогнозная энергоемкость ВРП</w:t>
            </w:r>
          </w:p>
          <w:p w:rsidR="004D4426" w:rsidRPr="00D423B2" w:rsidRDefault="004D4426" w:rsidP="004D4426">
            <w:pPr>
              <w:pStyle w:val="ConsPlusNormal"/>
              <w:jc w:val="center"/>
              <w:rPr>
                <w:rFonts w:ascii="Times New Roman" w:hAnsi="Times New Roman" w:cs="Times New Roman"/>
                <w:sz w:val="18"/>
                <w:szCs w:val="18"/>
              </w:rPr>
            </w:pPr>
            <w:r w:rsidRPr="00D423B2">
              <w:rPr>
                <w:rFonts w:ascii="Times New Roman" w:hAnsi="Times New Roman" w:cs="Times New Roman"/>
                <w:sz w:val="18"/>
                <w:szCs w:val="18"/>
              </w:rPr>
              <w:t>Республики Татарстан в сопоставимых ценах 2007 года по</w:t>
            </w:r>
          </w:p>
          <w:p w:rsidR="00BE6EB4" w:rsidRPr="00D423B2" w:rsidRDefault="004D4426" w:rsidP="004D4426">
            <w:pPr>
              <w:jc w:val="center"/>
              <w:rPr>
                <w:rFonts w:ascii="Times New Roman" w:hAnsi="Times New Roman" w:cs="Times New Roman"/>
                <w:sz w:val="18"/>
                <w:szCs w:val="18"/>
              </w:rPr>
            </w:pPr>
            <w:r w:rsidRPr="00D423B2">
              <w:rPr>
                <w:rFonts w:ascii="Times New Roman" w:hAnsi="Times New Roman" w:cs="Times New Roman"/>
                <w:sz w:val="18"/>
                <w:szCs w:val="18"/>
              </w:rPr>
              <w:t>первичным энергоносителям</w:t>
            </w:r>
          </w:p>
          <w:p w:rsidR="00371673" w:rsidRPr="00D423B2" w:rsidRDefault="00371673" w:rsidP="00371673">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Долгосрочные перспективы роста экономики и благосостояния граждан Республики Татарстан предопределяют увеличение спроса на энергетические ресурсы.</w:t>
            </w:r>
          </w:p>
          <w:p w:rsidR="00371673" w:rsidRPr="00D423B2" w:rsidRDefault="00371673" w:rsidP="00371673">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Ориентация экономики республики на энергоемкий рост, не подкрепленный широкомасштабным внедрением энергоэффективных технологий, угрожает, с одной стороны, потерей конкурентоспособности производственного сектора республики, а с другой - лавинообразной интенсификацией внутреннего спроса на энергоресурсы. В результате этого даже при достижении максимальных технически реализуемых показателей роста производства энергоресурсов спрос на них не будет обеспечен предложением. Такой путь развития неминуемо влечет за собой кризис дефицита энергетических ресурсов.</w:t>
            </w:r>
          </w:p>
          <w:p w:rsidR="00371673" w:rsidRPr="00D423B2" w:rsidRDefault="00371673" w:rsidP="00371673">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этих условиях особое значение приобретает реализация государственной республиканской политики управления спросом на энергетические ресурсы и энергоэффективности.</w:t>
            </w:r>
          </w:p>
          <w:p w:rsidR="00371673" w:rsidRPr="00D423B2" w:rsidRDefault="00371673" w:rsidP="00371673">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За последнее десятилетие только наиболее энергоемкие промышленные предприятия республики активно занимались внедрением энергосберегающих производственных технологий. Между тем снижение энергоемкости внутреннего валового продукта на один процент способно обеспечить его рост на 0,4 процента.</w:t>
            </w:r>
          </w:p>
          <w:p w:rsidR="00371673" w:rsidRPr="00D423B2" w:rsidRDefault="00371673" w:rsidP="00371673">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Перестройка структуры экономики в сторону высокотехнологичных и менее энергоемких производств и технологические меры экономии энергии должны позволить снизить энергоемкость ВРП на 40 процентов к 2020 году и на 58 процентов к 2030 году по сравнению с уровнем 2007 года.</w:t>
            </w:r>
          </w:p>
          <w:p w:rsidR="00371673" w:rsidRPr="00D423B2" w:rsidRDefault="00371673" w:rsidP="00371673">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Особое внимание следует уделить внедрению мероприятий, позволяющих обеспечить снижение потребления электрической энергии и газа.</w:t>
            </w:r>
          </w:p>
          <w:p w:rsidR="00013805" w:rsidRPr="00D423B2" w:rsidRDefault="00013805" w:rsidP="00013805">
            <w:pPr>
              <w:widowControl w:val="0"/>
              <w:autoSpaceDE w:val="0"/>
              <w:autoSpaceDN w:val="0"/>
              <w:ind w:firstLine="540"/>
              <w:jc w:val="both"/>
              <w:rPr>
                <w:rFonts w:ascii="Times New Roman" w:eastAsia="Times New Roman" w:hAnsi="Times New Roman" w:cs="Times New Roman"/>
                <w:sz w:val="26"/>
                <w:szCs w:val="26"/>
                <w:lang w:eastAsia="ru-RU"/>
              </w:rPr>
            </w:pPr>
            <w:r w:rsidRPr="00D423B2">
              <w:rPr>
                <w:rFonts w:ascii="Times New Roman" w:eastAsia="Times New Roman" w:hAnsi="Times New Roman" w:cs="Times New Roman"/>
                <w:sz w:val="26"/>
                <w:szCs w:val="26"/>
                <w:lang w:eastAsia="ru-RU"/>
              </w:rPr>
              <w:t>Основной мерой в области управления спросом на тепловую энергию должно стать расширение сферы применения рыночных цен, складывающихся под влиянием спроса и предложения и способных адекватно идентифицировать реальную потребительскую ценность тепловой энергии с учетом наличия у потребителей значительного потенциала сокращения ее расхода.</w:t>
            </w:r>
          </w:p>
          <w:p w:rsidR="00013805" w:rsidRPr="00D423B2" w:rsidRDefault="00013805" w:rsidP="00013805">
            <w:pPr>
              <w:widowControl w:val="0"/>
              <w:autoSpaceDE w:val="0"/>
              <w:autoSpaceDN w:val="0"/>
              <w:ind w:firstLine="540"/>
              <w:jc w:val="both"/>
              <w:rPr>
                <w:rFonts w:ascii="Times New Roman" w:eastAsia="Times New Roman" w:hAnsi="Times New Roman" w:cs="Times New Roman"/>
                <w:sz w:val="26"/>
                <w:szCs w:val="26"/>
                <w:lang w:eastAsia="ru-RU"/>
              </w:rPr>
            </w:pPr>
            <w:r w:rsidRPr="00D423B2">
              <w:rPr>
                <w:rFonts w:ascii="Times New Roman" w:eastAsia="Times New Roman" w:hAnsi="Times New Roman" w:cs="Times New Roman"/>
                <w:sz w:val="26"/>
                <w:szCs w:val="26"/>
                <w:lang w:eastAsia="ru-RU"/>
              </w:rPr>
              <w:t>Эти преобразования должны проводиться поэтапно, чтобы позволить потребителям энергетических ресурсов, в первую очередь промышленным предприятиям, заблаговременно адаптировать производственные процессы к новым требованиям рынка, осуществить капиталоемкие мероприятия по техническому перевооружению производства и форсированному внедрению энергосберегающего оборудования и технологий.</w:t>
            </w:r>
          </w:p>
          <w:p w:rsidR="00013805" w:rsidRPr="00D423B2" w:rsidRDefault="00013805" w:rsidP="00013805">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Повышение энергоэффективности достигается не только за счет привлечения финансовых ресурсов и правильных технических решений, но и за счет планирования, управления и контроля.</w:t>
            </w:r>
          </w:p>
          <w:p w:rsidR="00013805" w:rsidRPr="00D423B2" w:rsidRDefault="00013805" w:rsidP="00013805">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республике необходимо продолжить работу по совершенствованию системы индикативного управления энергоэффективностью. На основе индикаторов энергоэффективности определяются действия органов исполнительной власти и местного самоуправления по их снижению.</w:t>
            </w:r>
          </w:p>
          <w:p w:rsidR="00013805" w:rsidRPr="00D423B2" w:rsidRDefault="00013805" w:rsidP="00013805">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связи с этим одной из важнейших задач является корректировка принятых и разрабатываемых республиканских государственных программ по основным энергоемким отраслям экономики в части их дополнения разделом по энергосбережению и соответствующими индикаторами.</w:t>
            </w:r>
          </w:p>
          <w:p w:rsidR="00013805" w:rsidRPr="00D423B2" w:rsidRDefault="00013805" w:rsidP="00013805">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Особое значение приобретают методы экономической мотивации энергосбережения. Это нормативы энергоэффективности и экономическая система стимулирования. Ежегодное повышение платы за применение неэнергоэффективного оборудования будет стимулировать его модернизацию или замену. Введение такой значительной разовой платы за установку нового неэнергоэффективного оборудования будет способствовать устранению возможности застройщика снижать стоимость строительства, пренебрегая энергоэффективностью.</w:t>
            </w:r>
          </w:p>
          <w:p w:rsidR="00013805" w:rsidRPr="00D423B2" w:rsidRDefault="00013805" w:rsidP="00013805">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Необходимо ужесточить борьбу с расточительным расходованием энергоресурсов, превышающим разумные параметры.</w:t>
            </w:r>
          </w:p>
          <w:p w:rsidR="00013805" w:rsidRPr="00D423B2" w:rsidRDefault="00013805" w:rsidP="00013805">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Прямое бюджетное финансирование мероприятий по энергосбережению редко приводит к значительным долговременным результатам, так как не выполняется мониторинг осуществляемых проектов с оценкой реального экономического эффекта и отчуждением сэкономленных средств из общего финансового оборота для компенсации затрат, поощрения персонала и выполнения последующих мероприятий. Экономия не приводит к цепной реакции еще большей экономии.</w:t>
            </w:r>
          </w:p>
          <w:p w:rsidR="00013805" w:rsidRPr="00D423B2" w:rsidRDefault="00013805" w:rsidP="00013805">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Необходимо применять методы кредитования разницы в стоимости энергоэффективного и обычного оборудования с возвратом кредита из средств, полученных в результате будущей экономии. Необходима разработка методики и системы кредитования частных застройщиков для стимулирования их к применению энергоэффективного оборудования.</w:t>
            </w:r>
          </w:p>
          <w:p w:rsidR="00F62CAF" w:rsidRPr="00D423B2" w:rsidRDefault="00F62CAF" w:rsidP="00F62CAF">
            <w:pPr>
              <w:widowControl w:val="0"/>
              <w:autoSpaceDE w:val="0"/>
              <w:autoSpaceDN w:val="0"/>
              <w:ind w:firstLine="540"/>
              <w:jc w:val="both"/>
              <w:rPr>
                <w:rFonts w:ascii="Times New Roman" w:eastAsia="Times New Roman" w:hAnsi="Times New Roman" w:cs="Times New Roman"/>
                <w:sz w:val="26"/>
                <w:szCs w:val="26"/>
                <w:lang w:eastAsia="ru-RU"/>
              </w:rPr>
            </w:pPr>
            <w:r w:rsidRPr="00D423B2">
              <w:rPr>
                <w:rFonts w:ascii="Times New Roman" w:eastAsia="Times New Roman" w:hAnsi="Times New Roman" w:cs="Times New Roman"/>
                <w:sz w:val="26"/>
                <w:szCs w:val="26"/>
                <w:lang w:eastAsia="ru-RU"/>
              </w:rPr>
              <w:t>Важным инструментом государственной политики является поддержка и стимулирование эффективного бизнеса в области энергосбережения. Государственный протекционизм в отношении данного вида бизнеса, пока слабо развитого в республике, позволит сформировать экономических агентов, предлагающих и реализующих наиболее оптимальные научные, проектно-технологические, производственные решения, направленные на снижение энергоемкости производства и потребления.</w:t>
            </w:r>
          </w:p>
          <w:p w:rsidR="00F62CAF" w:rsidRPr="00D423B2" w:rsidRDefault="00F62CAF" w:rsidP="00F62CAF">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Необходимо вывести поддержку энергосберегающего бизнеса на качественно новый уровень, предполагающий переход от прямой финансовой помощи со стороны государства на льготных условиях к формированию системы реализации эффективных бизнес-проектов в соответствующей сфере, страхования коммерческих и некоммерческих рисков.</w:t>
            </w:r>
          </w:p>
          <w:p w:rsidR="00F62CAF" w:rsidRPr="00D423B2" w:rsidRDefault="00F62CAF" w:rsidP="00F62CAF">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Для развития энергосбережения в муниципальных образованиях Республики Татарстан необходимо разработать систему мер стимулирования и государственной поддержки в реализации энергоэффективных комплексных проектов и программных мероприятий в области энергосбережения и энергоэффективности, в том числе путем предоставления субсидий (грантов) на реализацию лучших муниципальных программ в этой области.</w:t>
            </w:r>
          </w:p>
          <w:p w:rsidR="00F62CAF" w:rsidRPr="00D423B2" w:rsidRDefault="00F62CAF" w:rsidP="00F62CAF">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Необходимо также продолжить работу по участию Республики Татарстан в государственных программах Российской Федерации, направленных на поддержку развития энергосбережения в регионах, в том числе с максимальным участием внебюджетных финансовых организаций.</w:t>
            </w:r>
          </w:p>
          <w:p w:rsidR="00B27078" w:rsidRPr="00D423B2" w:rsidRDefault="00B27078" w:rsidP="00F62CAF">
            <w:pPr>
              <w:widowControl w:val="0"/>
              <w:autoSpaceDE w:val="0"/>
              <w:autoSpaceDN w:val="0"/>
              <w:ind w:firstLine="540"/>
              <w:jc w:val="both"/>
              <w:rPr>
                <w:rFonts w:ascii="Times New Roman" w:eastAsia="Times New Roman" w:hAnsi="Times New Roman" w:cs="Times New Roman"/>
                <w:sz w:val="24"/>
                <w:szCs w:val="24"/>
                <w:lang w:eastAsia="ru-RU"/>
              </w:rPr>
            </w:pPr>
          </w:p>
          <w:p w:rsidR="00331A8F" w:rsidRPr="00D423B2" w:rsidRDefault="00331A8F" w:rsidP="00331A8F">
            <w:pPr>
              <w:jc w:val="center"/>
              <w:rPr>
                <w:rFonts w:ascii="Times New Roman" w:hAnsi="Times New Roman" w:cs="Times New Roman"/>
                <w:b/>
                <w:sz w:val="24"/>
                <w:szCs w:val="24"/>
              </w:rPr>
            </w:pPr>
            <w:r w:rsidRPr="00D423B2">
              <w:rPr>
                <w:rFonts w:ascii="Times New Roman" w:hAnsi="Times New Roman" w:cs="Times New Roman"/>
                <w:b/>
                <w:sz w:val="24"/>
                <w:szCs w:val="24"/>
              </w:rPr>
              <w:t>4.4. Использование альтернативных, нетрадиционных и возобновляемых источников энергии</w:t>
            </w:r>
          </w:p>
          <w:p w:rsidR="004C13E6" w:rsidRPr="00D423B2" w:rsidRDefault="004C13E6" w:rsidP="004C13E6">
            <w:pPr>
              <w:pStyle w:val="ConsPlusNormal"/>
              <w:ind w:firstLine="540"/>
              <w:jc w:val="both"/>
              <w:rPr>
                <w:rFonts w:ascii="Times New Roman" w:hAnsi="Times New Roman" w:cs="Times New Roman"/>
                <w:sz w:val="24"/>
                <w:szCs w:val="24"/>
              </w:rPr>
            </w:pPr>
          </w:p>
          <w:p w:rsidR="004C13E6" w:rsidRPr="00D423B2" w:rsidRDefault="004C13E6" w:rsidP="004C13E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Развитие энергетики на основе использования возобновляемых источников энергии является составной частью энергетической политики Российской Федерации. И если традиционная энергетика основана на применении ископаемого топлива, запасы которого ограничены, и зависит от величины поставок и конъюнктуры рынка, то возобновляемая энергетика базируется на самых разных природных ресурсах, что позволяет более эффективно использовать невозобновляемые ресурсы в других отраслях экономики. Кроме того, при использовании возобновляемых источников энергии (далее - ВИЭ) отсутствуют экологические издержки, связанные с добычей, переработкой и транспортировкой ископаемого топлива.</w:t>
            </w:r>
          </w:p>
          <w:p w:rsidR="004C13E6" w:rsidRPr="00D423B2" w:rsidRDefault="004C13E6" w:rsidP="004C13E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технологиях возобновляемой энергетики реализуются новейшие достижения многих научных направлений и отраслей: метеорологии, аэродинамики, электроэнергетики, теплоэнергетики, электроники, нанотехнологий, материаловедения и т.д. Развитие наукоемких технологий позволяет создавать дополнительные рабочие места за счет сохранения и расширения научной, производственной и эксплуатационной инфраструктуры энергетики, а также экспорта наукоемкого оборудования.</w:t>
            </w:r>
          </w:p>
          <w:p w:rsidR="004C13E6" w:rsidRPr="00D423B2" w:rsidRDefault="004C13E6" w:rsidP="004C13E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Российской Федерации возобновляемая энергетика представлена главным образом крупными гидроэлектростанциями, обеспечивающими около 19 процентов производства электроэнергии в стране. Другие виды ВИЭ в России пока слабо заметны, за исключением некоторых регионов (Камчатка и Курильские острова), где они имеют существенное значение в местных энергосистемах. По данным Министерства энергетики Российской Федерации, суммарная мощность малых гидроэлектростанций составляет порядка 250 МВт, геотермальных электростанций - около 80 МВт. Ветроэнергетика представлена несколькими пилотными проектами общей мощностью менее 13 МВт. Солнечная энергетика существует в виде небольших установок автономного энергоснабжения, не подключенных к энергосистеме и применяемых частными лицами и небольшими организациями.</w:t>
            </w:r>
          </w:p>
          <w:p w:rsidR="004C13E6" w:rsidRPr="00D423B2" w:rsidRDefault="004C13E6" w:rsidP="004C13E6">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Основные направления государственной политики в области развития электроэнергетики на основе использования ВИЭ на период до 2020 года и целевые показатели установлены распоряжением Правительства Российской Федерации, принятым в январе 2009 года (уточнены в мае 2013 года). Целевые показатели производства электроэнергии в Российской Федерации на основе различных видов ВИЭ представлены в таблицах 16.1 - 16.3.</w:t>
            </w:r>
          </w:p>
          <w:p w:rsidR="00013805" w:rsidRPr="00D423B2" w:rsidRDefault="00013805" w:rsidP="00371673">
            <w:pPr>
              <w:widowControl w:val="0"/>
              <w:autoSpaceDE w:val="0"/>
              <w:autoSpaceDN w:val="0"/>
              <w:ind w:firstLine="540"/>
              <w:jc w:val="both"/>
              <w:rPr>
                <w:rFonts w:ascii="Times New Roman" w:eastAsia="Times New Roman" w:hAnsi="Times New Roman" w:cs="Times New Roman"/>
                <w:sz w:val="24"/>
                <w:szCs w:val="24"/>
                <w:lang w:eastAsia="ru-RU"/>
              </w:rPr>
            </w:pPr>
          </w:p>
          <w:p w:rsidR="00281396" w:rsidRPr="00D423B2" w:rsidRDefault="00281396" w:rsidP="00281396">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16.1</w:t>
            </w:r>
          </w:p>
          <w:p w:rsidR="00281396" w:rsidRPr="00D423B2" w:rsidRDefault="00281396" w:rsidP="00281396">
            <w:pPr>
              <w:pStyle w:val="ConsPlusNormal"/>
              <w:ind w:firstLine="540"/>
              <w:jc w:val="center"/>
              <w:rPr>
                <w:rFonts w:ascii="Times New Roman" w:hAnsi="Times New Roman" w:cs="Times New Roman"/>
                <w:sz w:val="24"/>
                <w:szCs w:val="24"/>
              </w:rPr>
            </w:pPr>
          </w:p>
          <w:p w:rsidR="00281396" w:rsidRPr="00D423B2" w:rsidRDefault="00281396" w:rsidP="00281396">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Целевые показатели производства электрической энергии генерирующими объектами, функционирующими на основе энергиивод, мощностью менее 25 МВт</w:t>
            </w:r>
          </w:p>
          <w:p w:rsidR="001A5DFD" w:rsidRPr="00D423B2" w:rsidRDefault="001A5DFD" w:rsidP="00281396">
            <w:pPr>
              <w:pStyle w:val="ConsPlusNormal"/>
              <w:ind w:firstLine="540"/>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61"/>
              <w:gridCol w:w="565"/>
              <w:gridCol w:w="560"/>
              <w:gridCol w:w="549"/>
              <w:gridCol w:w="560"/>
              <w:gridCol w:w="568"/>
              <w:gridCol w:w="565"/>
            </w:tblGrid>
            <w:tr w:rsidR="00D423B2" w:rsidRPr="00D423B2" w:rsidTr="00C304C3">
              <w:trPr>
                <w:trHeight w:val="171"/>
              </w:trPr>
              <w:tc>
                <w:tcPr>
                  <w:tcW w:w="1761"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Наименование показателя/годы</w:t>
                  </w:r>
                </w:p>
              </w:tc>
              <w:tc>
                <w:tcPr>
                  <w:tcW w:w="565"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2015</w:t>
                  </w:r>
                </w:p>
              </w:tc>
              <w:tc>
                <w:tcPr>
                  <w:tcW w:w="560"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2016</w:t>
                  </w:r>
                </w:p>
              </w:tc>
              <w:tc>
                <w:tcPr>
                  <w:tcW w:w="549"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2017</w:t>
                  </w:r>
                </w:p>
              </w:tc>
              <w:tc>
                <w:tcPr>
                  <w:tcW w:w="560"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2018</w:t>
                  </w:r>
                </w:p>
              </w:tc>
              <w:tc>
                <w:tcPr>
                  <w:tcW w:w="568"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2019</w:t>
                  </w:r>
                </w:p>
              </w:tc>
              <w:tc>
                <w:tcPr>
                  <w:tcW w:w="565" w:type="dxa"/>
                  <w:vAlign w:val="center"/>
                </w:tcPr>
                <w:p w:rsidR="001A5DFD" w:rsidRPr="00D423B2" w:rsidRDefault="001A5DFD" w:rsidP="001A5DFD">
                  <w:pPr>
                    <w:pStyle w:val="ConsPlusNormal"/>
                    <w:jc w:val="center"/>
                    <w:rPr>
                      <w:sz w:val="16"/>
                      <w:szCs w:val="16"/>
                    </w:rPr>
                  </w:pPr>
                  <w:r w:rsidRPr="00D423B2">
                    <w:rPr>
                      <w:sz w:val="16"/>
                      <w:szCs w:val="16"/>
                    </w:rPr>
                    <w:t>2020</w:t>
                  </w:r>
                </w:p>
              </w:tc>
            </w:tr>
            <w:tr w:rsidR="00D423B2" w:rsidRPr="00D423B2" w:rsidTr="00C304C3">
              <w:trPr>
                <w:trHeight w:val="323"/>
              </w:trPr>
              <w:tc>
                <w:tcPr>
                  <w:tcW w:w="1761" w:type="dxa"/>
                </w:tcPr>
                <w:p w:rsidR="001A5DFD" w:rsidRPr="00D423B2" w:rsidRDefault="001A5DFD" w:rsidP="001A5DFD">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Объемы ввода установленной мощности, МВт</w:t>
                  </w:r>
                </w:p>
              </w:tc>
              <w:tc>
                <w:tcPr>
                  <w:tcW w:w="565"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w:t>
                  </w:r>
                </w:p>
              </w:tc>
              <w:tc>
                <w:tcPr>
                  <w:tcW w:w="560"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124</w:t>
                  </w:r>
                </w:p>
              </w:tc>
              <w:tc>
                <w:tcPr>
                  <w:tcW w:w="549"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124</w:t>
                  </w:r>
                </w:p>
              </w:tc>
              <w:tc>
                <w:tcPr>
                  <w:tcW w:w="560"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141</w:t>
                  </w:r>
                </w:p>
              </w:tc>
              <w:tc>
                <w:tcPr>
                  <w:tcW w:w="568"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159</w:t>
                  </w:r>
                </w:p>
              </w:tc>
              <w:tc>
                <w:tcPr>
                  <w:tcW w:w="565" w:type="dxa"/>
                  <w:vAlign w:val="center"/>
                </w:tcPr>
                <w:p w:rsidR="001A5DFD" w:rsidRPr="00D423B2" w:rsidRDefault="001A5DFD" w:rsidP="001A5DFD">
                  <w:pPr>
                    <w:pStyle w:val="ConsPlusNormal"/>
                    <w:jc w:val="center"/>
                    <w:rPr>
                      <w:sz w:val="16"/>
                      <w:szCs w:val="16"/>
                    </w:rPr>
                  </w:pPr>
                  <w:r w:rsidRPr="00D423B2">
                    <w:rPr>
                      <w:sz w:val="16"/>
                      <w:szCs w:val="16"/>
                    </w:rPr>
                    <w:t>159</w:t>
                  </w:r>
                </w:p>
              </w:tc>
            </w:tr>
            <w:tr w:rsidR="00D423B2" w:rsidRPr="00D423B2" w:rsidTr="00C304C3">
              <w:trPr>
                <w:trHeight w:val="323"/>
              </w:trPr>
              <w:tc>
                <w:tcPr>
                  <w:tcW w:w="1761" w:type="dxa"/>
                </w:tcPr>
                <w:p w:rsidR="001A5DFD" w:rsidRPr="00D423B2" w:rsidRDefault="001A5DFD" w:rsidP="001A5DFD">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Объемы производства электрической энергии, ГВт.ч</w:t>
                  </w:r>
                </w:p>
              </w:tc>
              <w:tc>
                <w:tcPr>
                  <w:tcW w:w="565"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69,6</w:t>
                  </w:r>
                </w:p>
              </w:tc>
              <w:tc>
                <w:tcPr>
                  <w:tcW w:w="560"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324,6</w:t>
                  </w:r>
                </w:p>
              </w:tc>
              <w:tc>
                <w:tcPr>
                  <w:tcW w:w="549"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324,6</w:t>
                  </w:r>
                </w:p>
              </w:tc>
              <w:tc>
                <w:tcPr>
                  <w:tcW w:w="560"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371</w:t>
                  </w:r>
                </w:p>
              </w:tc>
              <w:tc>
                <w:tcPr>
                  <w:tcW w:w="568"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417,4</w:t>
                  </w:r>
                </w:p>
              </w:tc>
              <w:tc>
                <w:tcPr>
                  <w:tcW w:w="565" w:type="dxa"/>
                  <w:vAlign w:val="center"/>
                </w:tcPr>
                <w:p w:rsidR="001A5DFD" w:rsidRPr="00D423B2" w:rsidRDefault="001A5DFD" w:rsidP="001A5DFD">
                  <w:pPr>
                    <w:pStyle w:val="ConsPlusNormal"/>
                    <w:jc w:val="center"/>
                    <w:rPr>
                      <w:sz w:val="16"/>
                      <w:szCs w:val="16"/>
                    </w:rPr>
                  </w:pPr>
                  <w:r w:rsidRPr="00D423B2">
                    <w:rPr>
                      <w:sz w:val="16"/>
                      <w:szCs w:val="16"/>
                    </w:rPr>
                    <w:t>417,4</w:t>
                  </w:r>
                </w:p>
              </w:tc>
            </w:tr>
            <w:tr w:rsidR="00D423B2" w:rsidRPr="00D423B2" w:rsidTr="00C304C3">
              <w:trPr>
                <w:trHeight w:val="810"/>
              </w:trPr>
              <w:tc>
                <w:tcPr>
                  <w:tcW w:w="1761" w:type="dxa"/>
                </w:tcPr>
                <w:p w:rsidR="001A5DFD" w:rsidRPr="00D423B2" w:rsidRDefault="001A5DFD" w:rsidP="001A5DFD">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Предельные величины капитальных затрат на возведение 1 кВт установленной мощности генерирующего объекта, тыс. рублей/кВт</w:t>
                  </w:r>
                </w:p>
              </w:tc>
              <w:tc>
                <w:tcPr>
                  <w:tcW w:w="565"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146,0</w:t>
                  </w:r>
                </w:p>
              </w:tc>
              <w:tc>
                <w:tcPr>
                  <w:tcW w:w="560"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146,0</w:t>
                  </w:r>
                </w:p>
              </w:tc>
              <w:tc>
                <w:tcPr>
                  <w:tcW w:w="549"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146,0</w:t>
                  </w:r>
                </w:p>
              </w:tc>
              <w:tc>
                <w:tcPr>
                  <w:tcW w:w="560"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146,0</w:t>
                  </w:r>
                </w:p>
              </w:tc>
              <w:tc>
                <w:tcPr>
                  <w:tcW w:w="568"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146,0</w:t>
                  </w:r>
                </w:p>
              </w:tc>
              <w:tc>
                <w:tcPr>
                  <w:tcW w:w="565" w:type="dxa"/>
                  <w:vAlign w:val="center"/>
                </w:tcPr>
                <w:p w:rsidR="001A5DFD" w:rsidRPr="00D423B2" w:rsidRDefault="001A5DFD" w:rsidP="001A5DFD">
                  <w:pPr>
                    <w:pStyle w:val="ConsPlusNormal"/>
                    <w:jc w:val="center"/>
                    <w:rPr>
                      <w:sz w:val="16"/>
                      <w:szCs w:val="16"/>
                    </w:rPr>
                  </w:pPr>
                  <w:r w:rsidRPr="00D423B2">
                    <w:rPr>
                      <w:sz w:val="16"/>
                      <w:szCs w:val="16"/>
                    </w:rPr>
                    <w:t>146,0</w:t>
                  </w:r>
                </w:p>
              </w:tc>
            </w:tr>
            <w:tr w:rsidR="00D423B2" w:rsidRPr="00D423B2" w:rsidTr="00C304C3">
              <w:trPr>
                <w:trHeight w:val="486"/>
              </w:trPr>
              <w:tc>
                <w:tcPr>
                  <w:tcW w:w="1761" w:type="dxa"/>
                </w:tcPr>
                <w:p w:rsidR="001A5DFD" w:rsidRPr="00D423B2" w:rsidRDefault="001A5DFD" w:rsidP="001A5DFD">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Степень локализации производства оборудования, в процентах</w:t>
                  </w:r>
                </w:p>
              </w:tc>
              <w:tc>
                <w:tcPr>
                  <w:tcW w:w="565"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w:t>
                  </w:r>
                </w:p>
              </w:tc>
              <w:tc>
                <w:tcPr>
                  <w:tcW w:w="560"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45</w:t>
                  </w:r>
                </w:p>
              </w:tc>
              <w:tc>
                <w:tcPr>
                  <w:tcW w:w="549"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45</w:t>
                  </w:r>
                </w:p>
              </w:tc>
              <w:tc>
                <w:tcPr>
                  <w:tcW w:w="560"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w:t>
                  </w:r>
                </w:p>
              </w:tc>
              <w:tc>
                <w:tcPr>
                  <w:tcW w:w="568" w:type="dxa"/>
                  <w:vAlign w:val="center"/>
                </w:tcPr>
                <w:p w:rsidR="001A5DFD" w:rsidRPr="00D423B2" w:rsidRDefault="001A5DFD" w:rsidP="001A5DFD">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w:t>
                  </w:r>
                </w:p>
              </w:tc>
              <w:tc>
                <w:tcPr>
                  <w:tcW w:w="565" w:type="dxa"/>
                  <w:vAlign w:val="center"/>
                </w:tcPr>
                <w:p w:rsidR="001A5DFD" w:rsidRPr="00D423B2" w:rsidRDefault="001A5DFD" w:rsidP="001A5DFD">
                  <w:pPr>
                    <w:pStyle w:val="ConsPlusNormal"/>
                    <w:jc w:val="center"/>
                    <w:rPr>
                      <w:sz w:val="16"/>
                      <w:szCs w:val="16"/>
                    </w:rPr>
                  </w:pPr>
                  <w:r w:rsidRPr="00D423B2">
                    <w:rPr>
                      <w:sz w:val="16"/>
                      <w:szCs w:val="16"/>
                    </w:rPr>
                    <w:t>65</w:t>
                  </w:r>
                </w:p>
              </w:tc>
            </w:tr>
          </w:tbl>
          <w:p w:rsidR="001A5DFD" w:rsidRPr="00D423B2" w:rsidRDefault="001A5DFD" w:rsidP="00281396">
            <w:pPr>
              <w:pStyle w:val="ConsPlusNormal"/>
              <w:ind w:firstLine="540"/>
              <w:jc w:val="center"/>
              <w:rPr>
                <w:rFonts w:ascii="Times New Roman" w:hAnsi="Times New Roman" w:cs="Times New Roman"/>
                <w:sz w:val="24"/>
                <w:szCs w:val="24"/>
              </w:rPr>
            </w:pPr>
          </w:p>
          <w:p w:rsidR="004A49C3" w:rsidRPr="00D423B2" w:rsidRDefault="004A49C3" w:rsidP="004A49C3">
            <w:pPr>
              <w:widowControl w:val="0"/>
              <w:autoSpaceDE w:val="0"/>
              <w:autoSpaceDN w:val="0"/>
              <w:jc w:val="right"/>
              <w:outlineLvl w:val="3"/>
              <w:rPr>
                <w:rFonts w:ascii="Times New Roman" w:eastAsia="Times New Roman" w:hAnsi="Times New Roman" w:cs="Times New Roman"/>
                <w:szCs w:val="20"/>
                <w:lang w:eastAsia="ru-RU"/>
              </w:rPr>
            </w:pPr>
            <w:r w:rsidRPr="00D423B2">
              <w:rPr>
                <w:rFonts w:ascii="Times New Roman" w:eastAsia="Times New Roman" w:hAnsi="Times New Roman" w:cs="Times New Roman"/>
                <w:szCs w:val="20"/>
                <w:lang w:eastAsia="ru-RU"/>
              </w:rPr>
              <w:t>Таблица 16.2</w:t>
            </w:r>
          </w:p>
          <w:p w:rsidR="004A49C3" w:rsidRPr="00D423B2" w:rsidRDefault="004A49C3" w:rsidP="004A49C3">
            <w:pPr>
              <w:widowControl w:val="0"/>
              <w:autoSpaceDE w:val="0"/>
              <w:autoSpaceDN w:val="0"/>
              <w:jc w:val="both"/>
              <w:outlineLvl w:val="3"/>
              <w:rPr>
                <w:rFonts w:ascii="Times New Roman" w:eastAsia="Times New Roman" w:hAnsi="Times New Roman" w:cs="Times New Roman"/>
                <w:szCs w:val="20"/>
                <w:lang w:eastAsia="ru-RU"/>
              </w:rPr>
            </w:pPr>
          </w:p>
          <w:p w:rsidR="004A49C3" w:rsidRPr="00D423B2" w:rsidRDefault="004A49C3" w:rsidP="004A49C3">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Целевые показатели производства электрической энергии генерирующими объектами, функционирующими на основе</w:t>
            </w:r>
          </w:p>
          <w:p w:rsidR="004A49C3" w:rsidRPr="00D423B2" w:rsidRDefault="004A49C3" w:rsidP="004A49C3">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энергии ветра</w:t>
            </w:r>
          </w:p>
          <w:p w:rsidR="004A49C3" w:rsidRPr="00D423B2" w:rsidRDefault="004A49C3" w:rsidP="004A49C3">
            <w:pPr>
              <w:pStyle w:val="ConsPlusNormal"/>
              <w:ind w:firstLine="540"/>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67"/>
              <w:gridCol w:w="567"/>
              <w:gridCol w:w="561"/>
              <w:gridCol w:w="551"/>
              <w:gridCol w:w="561"/>
              <w:gridCol w:w="569"/>
              <w:gridCol w:w="567"/>
            </w:tblGrid>
            <w:tr w:rsidR="00D423B2" w:rsidRPr="00D423B2" w:rsidTr="00C304C3">
              <w:trPr>
                <w:trHeight w:val="299"/>
              </w:trPr>
              <w:tc>
                <w:tcPr>
                  <w:tcW w:w="1767" w:type="dxa"/>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Наименование показателя/годы</w:t>
                  </w:r>
                </w:p>
              </w:tc>
              <w:tc>
                <w:tcPr>
                  <w:tcW w:w="567"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2015</w:t>
                  </w:r>
                </w:p>
              </w:tc>
              <w:tc>
                <w:tcPr>
                  <w:tcW w:w="56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2016</w:t>
                  </w:r>
                </w:p>
              </w:tc>
              <w:tc>
                <w:tcPr>
                  <w:tcW w:w="55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2017</w:t>
                  </w:r>
                </w:p>
              </w:tc>
              <w:tc>
                <w:tcPr>
                  <w:tcW w:w="56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2018</w:t>
                  </w:r>
                </w:p>
              </w:tc>
              <w:tc>
                <w:tcPr>
                  <w:tcW w:w="569"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2019</w:t>
                  </w:r>
                </w:p>
              </w:tc>
              <w:tc>
                <w:tcPr>
                  <w:tcW w:w="567" w:type="dxa"/>
                  <w:vAlign w:val="center"/>
                </w:tcPr>
                <w:p w:rsidR="00997712" w:rsidRPr="00D423B2" w:rsidRDefault="00997712" w:rsidP="00997712">
                  <w:pPr>
                    <w:pStyle w:val="ConsPlusNormal"/>
                    <w:jc w:val="center"/>
                    <w:rPr>
                      <w:sz w:val="16"/>
                      <w:szCs w:val="16"/>
                    </w:rPr>
                  </w:pPr>
                  <w:r w:rsidRPr="00D423B2">
                    <w:rPr>
                      <w:sz w:val="16"/>
                      <w:szCs w:val="16"/>
                    </w:rPr>
                    <w:t>2020</w:t>
                  </w:r>
                </w:p>
              </w:tc>
            </w:tr>
            <w:tr w:rsidR="00D423B2" w:rsidRPr="00D423B2" w:rsidTr="00C304C3">
              <w:trPr>
                <w:trHeight w:val="566"/>
              </w:trPr>
              <w:tc>
                <w:tcPr>
                  <w:tcW w:w="1767" w:type="dxa"/>
                </w:tcPr>
                <w:p w:rsidR="00997712" w:rsidRPr="00D423B2" w:rsidRDefault="00997712" w:rsidP="00997712">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Объемы ввода установленной мощности, МВт</w:t>
                  </w:r>
                </w:p>
              </w:tc>
              <w:tc>
                <w:tcPr>
                  <w:tcW w:w="567"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250</w:t>
                  </w:r>
                </w:p>
              </w:tc>
              <w:tc>
                <w:tcPr>
                  <w:tcW w:w="56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250</w:t>
                  </w:r>
                </w:p>
              </w:tc>
              <w:tc>
                <w:tcPr>
                  <w:tcW w:w="55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500</w:t>
                  </w:r>
                </w:p>
              </w:tc>
              <w:tc>
                <w:tcPr>
                  <w:tcW w:w="56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750</w:t>
                  </w:r>
                </w:p>
              </w:tc>
              <w:tc>
                <w:tcPr>
                  <w:tcW w:w="569"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1 000</w:t>
                  </w:r>
                </w:p>
              </w:tc>
              <w:tc>
                <w:tcPr>
                  <w:tcW w:w="567" w:type="dxa"/>
                  <w:vAlign w:val="center"/>
                </w:tcPr>
                <w:p w:rsidR="00997712" w:rsidRPr="00D423B2" w:rsidRDefault="00997712" w:rsidP="00997712">
                  <w:pPr>
                    <w:pStyle w:val="ConsPlusNormal"/>
                    <w:jc w:val="center"/>
                    <w:rPr>
                      <w:sz w:val="16"/>
                      <w:szCs w:val="16"/>
                    </w:rPr>
                  </w:pPr>
                  <w:r w:rsidRPr="00D423B2">
                    <w:rPr>
                      <w:sz w:val="16"/>
                      <w:szCs w:val="16"/>
                    </w:rPr>
                    <w:t>3 600</w:t>
                  </w:r>
                </w:p>
              </w:tc>
            </w:tr>
            <w:tr w:rsidR="00D423B2" w:rsidRPr="00D423B2" w:rsidTr="00C304C3">
              <w:trPr>
                <w:trHeight w:val="566"/>
              </w:trPr>
              <w:tc>
                <w:tcPr>
                  <w:tcW w:w="1767" w:type="dxa"/>
                </w:tcPr>
                <w:p w:rsidR="00997712" w:rsidRPr="00D423B2" w:rsidRDefault="00997712" w:rsidP="00997712">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Объемы производства электрической энергии, ГВт.ч</w:t>
                  </w:r>
                </w:p>
              </w:tc>
              <w:tc>
                <w:tcPr>
                  <w:tcW w:w="567"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547,5</w:t>
                  </w:r>
                </w:p>
              </w:tc>
              <w:tc>
                <w:tcPr>
                  <w:tcW w:w="56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547,5</w:t>
                  </w:r>
                </w:p>
              </w:tc>
              <w:tc>
                <w:tcPr>
                  <w:tcW w:w="55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1 095</w:t>
                  </w:r>
                </w:p>
              </w:tc>
              <w:tc>
                <w:tcPr>
                  <w:tcW w:w="56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1 642,5</w:t>
                  </w:r>
                </w:p>
              </w:tc>
              <w:tc>
                <w:tcPr>
                  <w:tcW w:w="569"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1 642,5</w:t>
                  </w:r>
                </w:p>
              </w:tc>
              <w:tc>
                <w:tcPr>
                  <w:tcW w:w="567" w:type="dxa"/>
                  <w:vAlign w:val="center"/>
                </w:tcPr>
                <w:p w:rsidR="00997712" w:rsidRPr="00D423B2" w:rsidRDefault="00997712" w:rsidP="00997712">
                  <w:pPr>
                    <w:pStyle w:val="ConsPlusNormal"/>
                    <w:jc w:val="center"/>
                    <w:rPr>
                      <w:sz w:val="16"/>
                      <w:szCs w:val="16"/>
                    </w:rPr>
                  </w:pPr>
                  <w:r w:rsidRPr="00D423B2">
                    <w:rPr>
                      <w:sz w:val="16"/>
                      <w:szCs w:val="16"/>
                    </w:rPr>
                    <w:t>7 884</w:t>
                  </w:r>
                </w:p>
              </w:tc>
            </w:tr>
            <w:tr w:rsidR="00D423B2" w:rsidRPr="00D423B2" w:rsidTr="00C304C3">
              <w:trPr>
                <w:trHeight w:val="1417"/>
              </w:trPr>
              <w:tc>
                <w:tcPr>
                  <w:tcW w:w="1767" w:type="dxa"/>
                </w:tcPr>
                <w:p w:rsidR="00997712" w:rsidRPr="00D423B2" w:rsidRDefault="00997712" w:rsidP="00997712">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Предельные величины капитальных затрат на возведение 1 кВт установленной мощности генерирующего объекта, тыс. рублей/кВт</w:t>
                  </w:r>
                </w:p>
              </w:tc>
              <w:tc>
                <w:tcPr>
                  <w:tcW w:w="567"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65,69</w:t>
                  </w:r>
                </w:p>
              </w:tc>
              <w:tc>
                <w:tcPr>
                  <w:tcW w:w="56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65,63</w:t>
                  </w:r>
                </w:p>
              </w:tc>
              <w:tc>
                <w:tcPr>
                  <w:tcW w:w="55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65,56</w:t>
                  </w:r>
                </w:p>
              </w:tc>
              <w:tc>
                <w:tcPr>
                  <w:tcW w:w="56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65,49</w:t>
                  </w:r>
                </w:p>
              </w:tc>
              <w:tc>
                <w:tcPr>
                  <w:tcW w:w="569"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65,43</w:t>
                  </w:r>
                </w:p>
              </w:tc>
              <w:tc>
                <w:tcPr>
                  <w:tcW w:w="567" w:type="dxa"/>
                  <w:vAlign w:val="center"/>
                </w:tcPr>
                <w:p w:rsidR="00997712" w:rsidRPr="00D423B2" w:rsidRDefault="00997712" w:rsidP="00997712">
                  <w:pPr>
                    <w:pStyle w:val="ConsPlusNormal"/>
                    <w:jc w:val="center"/>
                    <w:rPr>
                      <w:sz w:val="16"/>
                      <w:szCs w:val="16"/>
                    </w:rPr>
                  </w:pPr>
                  <w:r w:rsidRPr="00D423B2">
                    <w:rPr>
                      <w:sz w:val="16"/>
                      <w:szCs w:val="16"/>
                    </w:rPr>
                    <w:t>65,37</w:t>
                  </w:r>
                </w:p>
              </w:tc>
            </w:tr>
            <w:tr w:rsidR="00D423B2" w:rsidRPr="00D423B2" w:rsidTr="00C304C3">
              <w:trPr>
                <w:trHeight w:val="850"/>
              </w:trPr>
              <w:tc>
                <w:tcPr>
                  <w:tcW w:w="1767" w:type="dxa"/>
                </w:tcPr>
                <w:p w:rsidR="00997712" w:rsidRPr="00D423B2" w:rsidRDefault="00997712" w:rsidP="00997712">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Степень локализации производства оборудования, в процентах</w:t>
                  </w:r>
                </w:p>
              </w:tc>
              <w:tc>
                <w:tcPr>
                  <w:tcW w:w="567"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55</w:t>
                  </w:r>
                </w:p>
              </w:tc>
              <w:tc>
                <w:tcPr>
                  <w:tcW w:w="56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w:t>
                  </w:r>
                </w:p>
              </w:tc>
              <w:tc>
                <w:tcPr>
                  <w:tcW w:w="55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w:t>
                  </w:r>
                </w:p>
              </w:tc>
              <w:tc>
                <w:tcPr>
                  <w:tcW w:w="561"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w:t>
                  </w:r>
                </w:p>
              </w:tc>
              <w:tc>
                <w:tcPr>
                  <w:tcW w:w="569" w:type="dxa"/>
                  <w:vAlign w:val="center"/>
                </w:tcPr>
                <w:p w:rsidR="00997712" w:rsidRPr="00D423B2" w:rsidRDefault="00997712" w:rsidP="0099771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65</w:t>
                  </w:r>
                </w:p>
              </w:tc>
              <w:tc>
                <w:tcPr>
                  <w:tcW w:w="567" w:type="dxa"/>
                  <w:vAlign w:val="center"/>
                </w:tcPr>
                <w:p w:rsidR="00997712" w:rsidRPr="00D423B2" w:rsidRDefault="00997712" w:rsidP="00997712">
                  <w:pPr>
                    <w:pStyle w:val="ConsPlusNormal"/>
                    <w:jc w:val="center"/>
                    <w:rPr>
                      <w:sz w:val="16"/>
                      <w:szCs w:val="16"/>
                    </w:rPr>
                  </w:pPr>
                  <w:r w:rsidRPr="00D423B2">
                    <w:rPr>
                      <w:sz w:val="16"/>
                      <w:szCs w:val="16"/>
                    </w:rPr>
                    <w:t>65</w:t>
                  </w:r>
                </w:p>
              </w:tc>
            </w:tr>
          </w:tbl>
          <w:p w:rsidR="00997712" w:rsidRPr="00D423B2" w:rsidRDefault="00997712" w:rsidP="004A49C3">
            <w:pPr>
              <w:pStyle w:val="ConsPlusNormal"/>
              <w:ind w:firstLine="540"/>
              <w:jc w:val="center"/>
              <w:rPr>
                <w:rFonts w:ascii="Times New Roman" w:hAnsi="Times New Roman" w:cs="Times New Roman"/>
                <w:sz w:val="24"/>
                <w:szCs w:val="24"/>
              </w:rPr>
            </w:pPr>
          </w:p>
          <w:p w:rsidR="001D6CAD" w:rsidRPr="00D423B2" w:rsidRDefault="001D6CAD" w:rsidP="001D6CAD">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16.3</w:t>
            </w:r>
          </w:p>
          <w:p w:rsidR="001D6CAD" w:rsidRPr="00D423B2" w:rsidRDefault="001D6CAD" w:rsidP="001D6CAD">
            <w:pPr>
              <w:widowControl w:val="0"/>
              <w:autoSpaceDE w:val="0"/>
              <w:autoSpaceDN w:val="0"/>
              <w:jc w:val="center"/>
              <w:rPr>
                <w:rFonts w:ascii="Times New Roman" w:eastAsia="Times New Roman" w:hAnsi="Times New Roman" w:cs="Times New Roman"/>
                <w:b/>
                <w:sz w:val="24"/>
                <w:szCs w:val="24"/>
                <w:lang w:eastAsia="ru-RU"/>
              </w:rPr>
            </w:pPr>
          </w:p>
          <w:p w:rsidR="001D6CAD" w:rsidRPr="00D423B2" w:rsidRDefault="001D6CAD" w:rsidP="001D6CAD">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Целевые показатели производства электрической энергии</w:t>
            </w:r>
          </w:p>
          <w:p w:rsidR="001D6CAD" w:rsidRPr="00D423B2" w:rsidRDefault="001D6CAD" w:rsidP="001D6CAD">
            <w:pPr>
              <w:widowControl w:val="0"/>
              <w:autoSpaceDE w:val="0"/>
              <w:autoSpaceDN w:val="0"/>
              <w:jc w:val="center"/>
              <w:rPr>
                <w:rFonts w:ascii="Times New Roman" w:hAnsi="Times New Roman" w:cs="Times New Roman"/>
                <w:sz w:val="24"/>
                <w:szCs w:val="24"/>
              </w:rPr>
            </w:pPr>
            <w:r w:rsidRPr="00D423B2">
              <w:rPr>
                <w:rFonts w:ascii="Times New Roman" w:eastAsia="Times New Roman" w:hAnsi="Times New Roman" w:cs="Times New Roman"/>
                <w:sz w:val="24"/>
                <w:szCs w:val="24"/>
                <w:lang w:eastAsia="ru-RU"/>
              </w:rPr>
              <w:t xml:space="preserve">генерирующими объектами, функционирующими на основе </w:t>
            </w:r>
            <w:r w:rsidRPr="00D423B2">
              <w:rPr>
                <w:rFonts w:ascii="Times New Roman" w:hAnsi="Times New Roman" w:cs="Times New Roman"/>
                <w:sz w:val="24"/>
                <w:szCs w:val="24"/>
              </w:rPr>
              <w:t>энергии солнца</w:t>
            </w:r>
          </w:p>
          <w:p w:rsidR="00B24BD3" w:rsidRPr="00D423B2" w:rsidRDefault="00B24BD3" w:rsidP="001D6CAD">
            <w:pPr>
              <w:widowControl w:val="0"/>
              <w:autoSpaceDE w:val="0"/>
              <w:autoSpaceDN w:val="0"/>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25"/>
              <w:gridCol w:w="553"/>
              <w:gridCol w:w="548"/>
              <w:gridCol w:w="538"/>
              <w:gridCol w:w="548"/>
              <w:gridCol w:w="555"/>
              <w:gridCol w:w="553"/>
            </w:tblGrid>
            <w:tr w:rsidR="00D423B2" w:rsidRPr="00D423B2" w:rsidTr="007F712D">
              <w:trPr>
                <w:trHeight w:val="301"/>
              </w:trPr>
              <w:tc>
                <w:tcPr>
                  <w:tcW w:w="1725" w:type="dxa"/>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Наименование показателя/годы</w:t>
                  </w:r>
                </w:p>
              </w:tc>
              <w:tc>
                <w:tcPr>
                  <w:tcW w:w="553"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2015</w:t>
                  </w:r>
                </w:p>
              </w:tc>
              <w:tc>
                <w:tcPr>
                  <w:tcW w:w="54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2016</w:t>
                  </w:r>
                </w:p>
              </w:tc>
              <w:tc>
                <w:tcPr>
                  <w:tcW w:w="53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2017</w:t>
                  </w:r>
                </w:p>
              </w:tc>
              <w:tc>
                <w:tcPr>
                  <w:tcW w:w="54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2018</w:t>
                  </w:r>
                </w:p>
              </w:tc>
              <w:tc>
                <w:tcPr>
                  <w:tcW w:w="555"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2019</w:t>
                  </w:r>
                </w:p>
              </w:tc>
              <w:tc>
                <w:tcPr>
                  <w:tcW w:w="553" w:type="dxa"/>
                  <w:vAlign w:val="center"/>
                </w:tcPr>
                <w:p w:rsidR="00B24BD3" w:rsidRPr="00D423B2" w:rsidRDefault="00B24BD3" w:rsidP="00B24BD3">
                  <w:pPr>
                    <w:pStyle w:val="ConsPlusNormal"/>
                    <w:jc w:val="center"/>
                    <w:rPr>
                      <w:sz w:val="16"/>
                      <w:szCs w:val="16"/>
                    </w:rPr>
                  </w:pPr>
                  <w:r w:rsidRPr="00D423B2">
                    <w:rPr>
                      <w:sz w:val="16"/>
                      <w:szCs w:val="16"/>
                    </w:rPr>
                    <w:t>2020</w:t>
                  </w:r>
                </w:p>
              </w:tc>
            </w:tr>
            <w:tr w:rsidR="00D423B2" w:rsidRPr="00D423B2" w:rsidTr="007F712D">
              <w:trPr>
                <w:trHeight w:val="570"/>
              </w:trPr>
              <w:tc>
                <w:tcPr>
                  <w:tcW w:w="1725" w:type="dxa"/>
                </w:tcPr>
                <w:p w:rsidR="00B24BD3" w:rsidRPr="00D423B2" w:rsidRDefault="00B24BD3" w:rsidP="00B24BD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Объемы ввода установленной мощности, МВт</w:t>
                  </w:r>
                </w:p>
              </w:tc>
              <w:tc>
                <w:tcPr>
                  <w:tcW w:w="553"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140</w:t>
                  </w:r>
                </w:p>
              </w:tc>
              <w:tc>
                <w:tcPr>
                  <w:tcW w:w="54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200</w:t>
                  </w:r>
                </w:p>
              </w:tc>
              <w:tc>
                <w:tcPr>
                  <w:tcW w:w="53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250</w:t>
                  </w:r>
                </w:p>
              </w:tc>
              <w:tc>
                <w:tcPr>
                  <w:tcW w:w="54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270</w:t>
                  </w:r>
                </w:p>
              </w:tc>
              <w:tc>
                <w:tcPr>
                  <w:tcW w:w="555"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270</w:t>
                  </w:r>
                </w:p>
              </w:tc>
              <w:tc>
                <w:tcPr>
                  <w:tcW w:w="553" w:type="dxa"/>
                  <w:vAlign w:val="center"/>
                </w:tcPr>
                <w:p w:rsidR="00B24BD3" w:rsidRPr="00D423B2" w:rsidRDefault="00B24BD3" w:rsidP="00B24BD3">
                  <w:pPr>
                    <w:pStyle w:val="ConsPlusNormal"/>
                    <w:jc w:val="center"/>
                    <w:rPr>
                      <w:sz w:val="16"/>
                      <w:szCs w:val="16"/>
                    </w:rPr>
                  </w:pPr>
                  <w:r w:rsidRPr="00D423B2">
                    <w:rPr>
                      <w:sz w:val="16"/>
                      <w:szCs w:val="16"/>
                    </w:rPr>
                    <w:t>270</w:t>
                  </w:r>
                </w:p>
              </w:tc>
            </w:tr>
            <w:tr w:rsidR="00D423B2" w:rsidRPr="00D423B2" w:rsidTr="007F712D">
              <w:trPr>
                <w:trHeight w:val="570"/>
              </w:trPr>
              <w:tc>
                <w:tcPr>
                  <w:tcW w:w="1725" w:type="dxa"/>
                </w:tcPr>
                <w:p w:rsidR="00B24BD3" w:rsidRPr="00D423B2" w:rsidRDefault="00B24BD3" w:rsidP="00B24BD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Объемы производства электрической энергии, ГВт.ч</w:t>
                  </w:r>
                </w:p>
              </w:tc>
              <w:tc>
                <w:tcPr>
                  <w:tcW w:w="553"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159,4</w:t>
                  </w:r>
                </w:p>
              </w:tc>
              <w:tc>
                <w:tcPr>
                  <w:tcW w:w="54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227,8</w:t>
                  </w:r>
                </w:p>
              </w:tc>
              <w:tc>
                <w:tcPr>
                  <w:tcW w:w="53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284,7</w:t>
                  </w:r>
                </w:p>
              </w:tc>
              <w:tc>
                <w:tcPr>
                  <w:tcW w:w="54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307,5</w:t>
                  </w:r>
                </w:p>
              </w:tc>
              <w:tc>
                <w:tcPr>
                  <w:tcW w:w="555"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307,5</w:t>
                  </w:r>
                </w:p>
              </w:tc>
              <w:tc>
                <w:tcPr>
                  <w:tcW w:w="553" w:type="dxa"/>
                  <w:vAlign w:val="center"/>
                </w:tcPr>
                <w:p w:rsidR="00B24BD3" w:rsidRPr="00D423B2" w:rsidRDefault="00B24BD3" w:rsidP="00B24BD3">
                  <w:pPr>
                    <w:pStyle w:val="ConsPlusNormal"/>
                    <w:jc w:val="center"/>
                    <w:rPr>
                      <w:sz w:val="16"/>
                      <w:szCs w:val="16"/>
                    </w:rPr>
                  </w:pPr>
                  <w:r w:rsidRPr="00D423B2">
                    <w:rPr>
                      <w:sz w:val="16"/>
                      <w:szCs w:val="16"/>
                    </w:rPr>
                    <w:t>307,5</w:t>
                  </w:r>
                </w:p>
              </w:tc>
            </w:tr>
            <w:tr w:rsidR="00D423B2" w:rsidRPr="00D423B2" w:rsidTr="007F712D">
              <w:trPr>
                <w:trHeight w:val="1427"/>
              </w:trPr>
              <w:tc>
                <w:tcPr>
                  <w:tcW w:w="1725" w:type="dxa"/>
                </w:tcPr>
                <w:p w:rsidR="00B24BD3" w:rsidRPr="00D423B2" w:rsidRDefault="00B24BD3" w:rsidP="00B24BD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Предельные величины капитальных затрат на возведение 1 кВт установленной мощности генерирующего объекта, тыс. рублей/кВт</w:t>
                  </w:r>
                </w:p>
              </w:tc>
              <w:tc>
                <w:tcPr>
                  <w:tcW w:w="553"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114,12</w:t>
                  </w:r>
                </w:p>
              </w:tc>
              <w:tc>
                <w:tcPr>
                  <w:tcW w:w="54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111,84</w:t>
                  </w:r>
                </w:p>
              </w:tc>
              <w:tc>
                <w:tcPr>
                  <w:tcW w:w="53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109,60</w:t>
                  </w:r>
                </w:p>
              </w:tc>
              <w:tc>
                <w:tcPr>
                  <w:tcW w:w="54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107,41</w:t>
                  </w:r>
                </w:p>
              </w:tc>
              <w:tc>
                <w:tcPr>
                  <w:tcW w:w="555"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105,26</w:t>
                  </w:r>
                </w:p>
              </w:tc>
              <w:tc>
                <w:tcPr>
                  <w:tcW w:w="553" w:type="dxa"/>
                  <w:vAlign w:val="center"/>
                </w:tcPr>
                <w:p w:rsidR="00B24BD3" w:rsidRPr="00D423B2" w:rsidRDefault="00B24BD3" w:rsidP="00B24BD3">
                  <w:pPr>
                    <w:pStyle w:val="ConsPlusNormal"/>
                    <w:jc w:val="center"/>
                    <w:rPr>
                      <w:sz w:val="16"/>
                      <w:szCs w:val="16"/>
                    </w:rPr>
                  </w:pPr>
                  <w:r w:rsidRPr="00D423B2">
                    <w:rPr>
                      <w:sz w:val="16"/>
                      <w:szCs w:val="16"/>
                    </w:rPr>
                    <w:t>103,16</w:t>
                  </w:r>
                </w:p>
              </w:tc>
            </w:tr>
            <w:tr w:rsidR="00D423B2" w:rsidRPr="00D423B2" w:rsidTr="007F712D">
              <w:trPr>
                <w:trHeight w:val="857"/>
              </w:trPr>
              <w:tc>
                <w:tcPr>
                  <w:tcW w:w="1725" w:type="dxa"/>
                </w:tcPr>
                <w:p w:rsidR="00B24BD3" w:rsidRPr="00D423B2" w:rsidRDefault="00B24BD3" w:rsidP="00B24BD3">
                  <w:pPr>
                    <w:pStyle w:val="ConsPlusNormal"/>
                    <w:jc w:val="both"/>
                    <w:rPr>
                      <w:rFonts w:ascii="Times New Roman" w:hAnsi="Times New Roman" w:cs="Times New Roman"/>
                      <w:sz w:val="16"/>
                      <w:szCs w:val="16"/>
                    </w:rPr>
                  </w:pPr>
                  <w:r w:rsidRPr="00D423B2">
                    <w:rPr>
                      <w:rFonts w:ascii="Times New Roman" w:hAnsi="Times New Roman" w:cs="Times New Roman"/>
                      <w:sz w:val="16"/>
                      <w:szCs w:val="16"/>
                    </w:rPr>
                    <w:t>Степень локализации производства оборудования, в процентах</w:t>
                  </w:r>
                </w:p>
              </w:tc>
              <w:tc>
                <w:tcPr>
                  <w:tcW w:w="553"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50</w:t>
                  </w:r>
                </w:p>
              </w:tc>
              <w:tc>
                <w:tcPr>
                  <w:tcW w:w="54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70</w:t>
                  </w:r>
                </w:p>
              </w:tc>
              <w:tc>
                <w:tcPr>
                  <w:tcW w:w="53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70</w:t>
                  </w:r>
                </w:p>
              </w:tc>
              <w:tc>
                <w:tcPr>
                  <w:tcW w:w="548"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70</w:t>
                  </w:r>
                </w:p>
              </w:tc>
              <w:tc>
                <w:tcPr>
                  <w:tcW w:w="555" w:type="dxa"/>
                  <w:vAlign w:val="center"/>
                </w:tcPr>
                <w:p w:rsidR="00B24BD3" w:rsidRPr="00D423B2" w:rsidRDefault="00B24BD3" w:rsidP="00B24BD3">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70</w:t>
                  </w:r>
                </w:p>
              </w:tc>
              <w:tc>
                <w:tcPr>
                  <w:tcW w:w="553" w:type="dxa"/>
                  <w:vAlign w:val="center"/>
                </w:tcPr>
                <w:p w:rsidR="00B24BD3" w:rsidRPr="00D423B2" w:rsidRDefault="00B24BD3" w:rsidP="00B24BD3">
                  <w:pPr>
                    <w:pStyle w:val="ConsPlusNormal"/>
                    <w:jc w:val="center"/>
                    <w:rPr>
                      <w:sz w:val="16"/>
                      <w:szCs w:val="16"/>
                    </w:rPr>
                  </w:pPr>
                  <w:r w:rsidRPr="00D423B2">
                    <w:rPr>
                      <w:sz w:val="16"/>
                      <w:szCs w:val="16"/>
                    </w:rPr>
                    <w:t>70</w:t>
                  </w:r>
                </w:p>
              </w:tc>
            </w:tr>
          </w:tbl>
          <w:p w:rsidR="009B77F8" w:rsidRPr="00D423B2" w:rsidRDefault="009B77F8" w:rsidP="009B77F8">
            <w:pPr>
              <w:pStyle w:val="ConsPlusNormal"/>
              <w:ind w:firstLine="540"/>
              <w:jc w:val="both"/>
              <w:rPr>
                <w:rFonts w:ascii="Times New Roman" w:hAnsi="Times New Roman" w:cs="Times New Roman"/>
                <w:sz w:val="24"/>
                <w:szCs w:val="24"/>
              </w:rPr>
            </w:pPr>
          </w:p>
          <w:p w:rsidR="009B77F8" w:rsidRPr="00D423B2" w:rsidRDefault="009B77F8" w:rsidP="009B77F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Республике Татарстан основные направления развития и использования возобновляемых источников энергии определены в Концепции целевой программы "Развитие малой энергетики в Республике Татарстан на возобновляемых источниках энергии", которые приведены в подразделах, следующих далее по тексту.</w:t>
            </w:r>
          </w:p>
          <w:p w:rsidR="00B24BD3" w:rsidRPr="00D423B2" w:rsidRDefault="00B24BD3" w:rsidP="001D6CAD">
            <w:pPr>
              <w:widowControl w:val="0"/>
              <w:autoSpaceDE w:val="0"/>
              <w:autoSpaceDN w:val="0"/>
              <w:jc w:val="center"/>
              <w:rPr>
                <w:rFonts w:ascii="Times New Roman" w:eastAsia="Times New Roman" w:hAnsi="Times New Roman" w:cs="Times New Roman"/>
                <w:sz w:val="24"/>
                <w:szCs w:val="24"/>
                <w:lang w:eastAsia="ru-RU"/>
              </w:rPr>
            </w:pPr>
          </w:p>
          <w:p w:rsidR="00E43DE1" w:rsidRPr="00D423B2" w:rsidRDefault="00E43DE1" w:rsidP="00E43DE1">
            <w:pPr>
              <w:widowControl w:val="0"/>
              <w:autoSpaceDE w:val="0"/>
              <w:autoSpaceDN w:val="0"/>
              <w:rPr>
                <w:rFonts w:ascii="Times New Roman" w:hAnsi="Times New Roman" w:cs="Times New Roman"/>
                <w:sz w:val="24"/>
                <w:szCs w:val="24"/>
              </w:rPr>
            </w:pPr>
            <w:r w:rsidRPr="00D423B2">
              <w:rPr>
                <w:rFonts w:ascii="Times New Roman" w:hAnsi="Times New Roman" w:cs="Times New Roman"/>
                <w:sz w:val="26"/>
                <w:szCs w:val="26"/>
              </w:rPr>
              <w:t xml:space="preserve">        </w:t>
            </w:r>
            <w:r w:rsidRPr="00D423B2">
              <w:rPr>
                <w:rFonts w:ascii="Times New Roman" w:hAnsi="Times New Roman" w:cs="Times New Roman"/>
                <w:sz w:val="24"/>
                <w:szCs w:val="24"/>
              </w:rPr>
              <w:t>4.4.1. Малая гидроэнергетика</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в Российской Федерации действуют более 300 малых ГЭС общей мощностью около 1300 МВт. ГЭС различны по конструктивным решениям и техническому уровню - от управляемых вручную до полностью автоматизированных, работающих без дежурного персонала.</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Малые ГЭС обеспечивают энергоснабжение отдельных потребителей, изолированных от энергосистемы, но большая их часть подключена к местным энергосистемам.</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К классу малых ГЭС по экономическим соображениям относятся ГЭС мощностью от 50 - 100 кВт (микро-ГЭС) и до 5000 кВт (малая ГЭС).</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Для создания таких мощностей возможны технические решения, принципиально отличные от традиционных, разработанных для более крупных ГЭС, в том числе:</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строительство бесплотинных водозаборов;</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создание водохранилищ, затопление которых не превышает максимально паводочного уровня;</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внерусловое расположение зданий гидроэлектростанций;</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использование энергии естественных перепадов водотока.</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Эти положения послужили руководством при разработке принципиальной схемы размещения малых ГЭС на территории Республики Татарстан.</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Технический потенциал малых водотоков в Республике Татарстан в целом оценивается по средней мощности в 144,3 МВт и по среднегодовой выработке электроэнергии в 1,264 млрд кВт.ч.</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Наибольшим энергетическим потенциалом обладают реки Мензеля (58375 кВт.ч/кв. км), Степной Зай (50098 кВт.ч/кв. км), Шешма (45712 кВт.ч/кв. км), Кичуй (43755 кВт.ч/кв. км), Зай (43683 кВт.ч/кв. км), Малая Меша (32547 кВт.ч/кв. км), Зыча (32322 кВт.ч/кв. км).</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Рассмотрены также водохранилища, предназначенные для мелиорации. Их полезный объем используется в основном с мая по август. Наиболее перспективными для энергетического использования являются водохранилища на реках Мелля, Иганя, Беденьга, ручье Бурла.</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Результаты оценок показали, что на территории Республики Татарстан можно построить 67 малых ГЭС с установленной мощностью 27 МВт с ежегодной выработкой электроэнергии 68 млн кВт.ч, в том числе в нефтедобывающих районах республики могут быть сооружены 32 малых ГЭС установленной мощностью 12,1 МВт, которые обеспечат выработку 39,1 млн кВт.ч электроэнергии.</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Определены энергетические стоимостные показатели первоочередных малых ГЭС. Результаты показали, что от 14 первоочередных малых ГЭС общей установленной мощностью 9,2 МВт может быть получена выработка электроэнергии 31,2 млн кВт.ч и сэкономлено 10,8 тыс. т.у.т.</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Определение экономических показателей малых ГЭС в настоящее время затруднено в связи с тем, что точная стоимость гидроагрегата может быть определена только после выбора площадки строительства, так как конструкция и состав оборудования значительно зависят от режима работы ГЭС и характеристик электропотребителей. Таким образом, примерные затраты на реализацию первого этапа строительства малых ГЭС в Республике Татарстан составляют 4 млрд рублей (в ценах 2005 года).</w:t>
            </w:r>
          </w:p>
          <w:p w:rsidR="000C2E60" w:rsidRPr="00D423B2" w:rsidRDefault="000C2E60" w:rsidP="000C2E6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Строительство малых ГЭС в Республике Татарстан предполагается начать в 2017 году. В таблице 17 приведена примерная программа строительства малых ГЭС.</w:t>
            </w:r>
          </w:p>
          <w:p w:rsidR="000C2E60" w:rsidRPr="00D423B2" w:rsidRDefault="000C2E60" w:rsidP="000C2E60">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17</w:t>
            </w:r>
          </w:p>
          <w:p w:rsidR="000C2E60" w:rsidRPr="00D423B2" w:rsidRDefault="000C2E60" w:rsidP="000C2E60">
            <w:pPr>
              <w:pStyle w:val="ConsPlusNormal"/>
              <w:ind w:firstLine="540"/>
              <w:jc w:val="right"/>
              <w:rPr>
                <w:rFonts w:ascii="Times New Roman" w:hAnsi="Times New Roman" w:cs="Times New Roman"/>
                <w:sz w:val="24"/>
                <w:szCs w:val="24"/>
              </w:rPr>
            </w:pPr>
          </w:p>
          <w:p w:rsidR="000C2E60" w:rsidRPr="00D423B2" w:rsidRDefault="000C2E60" w:rsidP="000C2E60">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Программа строительства малых ГЭС в Республике Татарстан</w:t>
            </w:r>
          </w:p>
          <w:p w:rsidR="000C2E60" w:rsidRPr="00D423B2" w:rsidRDefault="000C2E60" w:rsidP="000C2E60">
            <w:pPr>
              <w:pStyle w:val="ConsPlusNormal"/>
              <w:ind w:firstLine="540"/>
              <w:jc w:val="both"/>
              <w:rPr>
                <w:rFonts w:ascii="Times New Roman" w:hAnsi="Times New Roman" w:cs="Times New Roman"/>
                <w:sz w:val="24"/>
                <w:szCs w:val="24"/>
              </w:rPr>
            </w:pPr>
          </w:p>
          <w:tbl>
            <w:tblPr>
              <w:tblW w:w="5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513"/>
              <w:gridCol w:w="1028"/>
              <w:gridCol w:w="653"/>
              <w:gridCol w:w="467"/>
              <w:gridCol w:w="560"/>
              <w:gridCol w:w="869"/>
            </w:tblGrid>
            <w:tr w:rsidR="00D423B2" w:rsidRPr="00D423B2" w:rsidTr="002E4F12">
              <w:trPr>
                <w:trHeight w:val="232"/>
              </w:trPr>
              <w:tc>
                <w:tcPr>
                  <w:tcW w:w="1513" w:type="dxa"/>
                </w:tcPr>
                <w:p w:rsidR="00A31B8F" w:rsidRPr="00D423B2" w:rsidRDefault="00A31B8F" w:rsidP="00A31B8F">
                  <w:pPr>
                    <w:pStyle w:val="ConsPlusNormal"/>
                    <w:rPr>
                      <w:rFonts w:ascii="Times New Roman" w:hAnsi="Times New Roman" w:cs="Times New Roman"/>
                      <w:sz w:val="16"/>
                      <w:szCs w:val="16"/>
                    </w:rPr>
                  </w:pPr>
                </w:p>
              </w:tc>
              <w:tc>
                <w:tcPr>
                  <w:tcW w:w="1028" w:type="dxa"/>
                  <w:vAlign w:val="center"/>
                </w:tcPr>
                <w:p w:rsidR="00A31B8F" w:rsidRPr="00D423B2" w:rsidRDefault="00A31B8F" w:rsidP="00A31B8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2017</w:t>
                  </w:r>
                </w:p>
              </w:tc>
              <w:tc>
                <w:tcPr>
                  <w:tcW w:w="653" w:type="dxa"/>
                  <w:vAlign w:val="center"/>
                </w:tcPr>
                <w:p w:rsidR="00A31B8F" w:rsidRPr="00D423B2" w:rsidRDefault="00A31B8F" w:rsidP="00A31B8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2018</w:t>
                  </w:r>
                </w:p>
              </w:tc>
              <w:tc>
                <w:tcPr>
                  <w:tcW w:w="467" w:type="dxa"/>
                  <w:vAlign w:val="center"/>
                </w:tcPr>
                <w:p w:rsidR="00A31B8F" w:rsidRPr="00D423B2" w:rsidRDefault="00A31B8F" w:rsidP="00A31B8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2019</w:t>
                  </w:r>
                </w:p>
              </w:tc>
              <w:tc>
                <w:tcPr>
                  <w:tcW w:w="560" w:type="dxa"/>
                  <w:vAlign w:val="center"/>
                </w:tcPr>
                <w:p w:rsidR="00A31B8F" w:rsidRPr="00D423B2" w:rsidRDefault="00A31B8F" w:rsidP="00A31B8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2020</w:t>
                  </w:r>
                </w:p>
              </w:tc>
              <w:tc>
                <w:tcPr>
                  <w:tcW w:w="869" w:type="dxa"/>
                  <w:vAlign w:val="center"/>
                </w:tcPr>
                <w:p w:rsidR="00A31B8F" w:rsidRPr="00D423B2" w:rsidRDefault="00A31B8F" w:rsidP="00A31B8F">
                  <w:pPr>
                    <w:pStyle w:val="ConsPlusNormal"/>
                    <w:jc w:val="center"/>
                    <w:rPr>
                      <w:sz w:val="16"/>
                      <w:szCs w:val="16"/>
                    </w:rPr>
                  </w:pPr>
                  <w:r w:rsidRPr="00D423B2">
                    <w:rPr>
                      <w:sz w:val="16"/>
                      <w:szCs w:val="16"/>
                    </w:rPr>
                    <w:t>2021 - 2030</w:t>
                  </w:r>
                </w:p>
              </w:tc>
            </w:tr>
            <w:tr w:rsidR="00D423B2" w:rsidRPr="00D423B2" w:rsidTr="002E4F12">
              <w:trPr>
                <w:trHeight w:val="121"/>
              </w:trPr>
              <w:tc>
                <w:tcPr>
                  <w:tcW w:w="1513" w:type="dxa"/>
                </w:tcPr>
                <w:p w:rsidR="00A31B8F" w:rsidRPr="00D423B2" w:rsidRDefault="00A31B8F" w:rsidP="00A31B8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Вводимые мощности, МВт</w:t>
                  </w:r>
                </w:p>
              </w:tc>
              <w:tc>
                <w:tcPr>
                  <w:tcW w:w="1028" w:type="dxa"/>
                </w:tcPr>
                <w:p w:rsidR="00A31B8F" w:rsidRPr="00D423B2" w:rsidRDefault="00A31B8F" w:rsidP="00A31B8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Начало строительства</w:t>
                  </w:r>
                </w:p>
              </w:tc>
              <w:tc>
                <w:tcPr>
                  <w:tcW w:w="653" w:type="dxa"/>
                </w:tcPr>
                <w:p w:rsidR="00A31B8F" w:rsidRPr="00D423B2" w:rsidRDefault="00A31B8F" w:rsidP="00A31B8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w:t>
                  </w:r>
                </w:p>
              </w:tc>
              <w:tc>
                <w:tcPr>
                  <w:tcW w:w="467" w:type="dxa"/>
                </w:tcPr>
                <w:p w:rsidR="00A31B8F" w:rsidRPr="00D423B2" w:rsidRDefault="00A31B8F" w:rsidP="00A31B8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w:t>
                  </w:r>
                </w:p>
              </w:tc>
              <w:tc>
                <w:tcPr>
                  <w:tcW w:w="560" w:type="dxa"/>
                </w:tcPr>
                <w:p w:rsidR="00A31B8F" w:rsidRPr="00D423B2" w:rsidRDefault="00A31B8F" w:rsidP="00A31B8F">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w:t>
                  </w:r>
                </w:p>
              </w:tc>
              <w:tc>
                <w:tcPr>
                  <w:tcW w:w="869" w:type="dxa"/>
                </w:tcPr>
                <w:p w:rsidR="00A31B8F" w:rsidRPr="00D423B2" w:rsidRDefault="00A31B8F" w:rsidP="00A31B8F">
                  <w:pPr>
                    <w:pStyle w:val="ConsPlusNormal"/>
                    <w:jc w:val="center"/>
                    <w:rPr>
                      <w:sz w:val="16"/>
                      <w:szCs w:val="16"/>
                    </w:rPr>
                  </w:pPr>
                  <w:r w:rsidRPr="00D423B2">
                    <w:rPr>
                      <w:sz w:val="16"/>
                      <w:szCs w:val="16"/>
                    </w:rPr>
                    <w:t>7</w:t>
                  </w:r>
                </w:p>
              </w:tc>
            </w:tr>
          </w:tbl>
          <w:p w:rsidR="00A12FDA" w:rsidRPr="00D423B2" w:rsidRDefault="00A12FDA" w:rsidP="00E43DE1">
            <w:pPr>
              <w:widowControl w:val="0"/>
              <w:autoSpaceDE w:val="0"/>
              <w:autoSpaceDN w:val="0"/>
              <w:rPr>
                <w:rFonts w:ascii="Times New Roman" w:hAnsi="Times New Roman" w:cs="Times New Roman"/>
                <w:sz w:val="24"/>
                <w:szCs w:val="24"/>
              </w:rPr>
            </w:pPr>
          </w:p>
          <w:p w:rsidR="000826BF" w:rsidRPr="00D423B2" w:rsidRDefault="003C482D" w:rsidP="003C482D">
            <w:pPr>
              <w:widowControl w:val="0"/>
              <w:autoSpaceDE w:val="0"/>
              <w:autoSpaceDN w:val="0"/>
              <w:jc w:val="both"/>
              <w:rPr>
                <w:rFonts w:ascii="Times New Roman" w:hAnsi="Times New Roman" w:cs="Times New Roman"/>
                <w:sz w:val="24"/>
                <w:szCs w:val="24"/>
              </w:rPr>
            </w:pPr>
            <w:r w:rsidRPr="00D423B2">
              <w:rPr>
                <w:rFonts w:ascii="Times New Roman" w:hAnsi="Times New Roman" w:cs="Times New Roman"/>
                <w:sz w:val="24"/>
                <w:szCs w:val="24"/>
              </w:rPr>
              <w:t xml:space="preserve">          В целом по Республике Татарстан без учета крупных гидроэлектростанций (установленной мощностью более 25 МВт) на долю ВИЭ в общем объеме потребления первичных энергетических ресурсов приходится менее 0,4 процента, к 2030 году ее доля должна увеличиться в несколько раз.</w:t>
            </w:r>
          </w:p>
          <w:p w:rsidR="002B72CA" w:rsidRPr="00D423B2" w:rsidRDefault="002B72CA" w:rsidP="003C482D">
            <w:pPr>
              <w:widowControl w:val="0"/>
              <w:autoSpaceDE w:val="0"/>
              <w:autoSpaceDN w:val="0"/>
              <w:jc w:val="both"/>
              <w:rPr>
                <w:rFonts w:ascii="Times New Roman" w:hAnsi="Times New Roman" w:cs="Times New Roman"/>
                <w:sz w:val="24"/>
                <w:szCs w:val="24"/>
              </w:rPr>
            </w:pPr>
          </w:p>
          <w:p w:rsidR="002B72CA" w:rsidRPr="00D423B2" w:rsidRDefault="002B72CA" w:rsidP="002B72CA">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4.4.2 Ветроэнергетика</w:t>
            </w:r>
          </w:p>
          <w:p w:rsidR="002B72CA" w:rsidRPr="00D423B2" w:rsidRDefault="002B72CA" w:rsidP="002B72CA">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 территории Республики Татарстан имеется техническая возможность разместить 359 ветроэнергетических станций (далее - ВЭС) с использованием ветроустановок 600 кВт мощностью 722,4 МВт и выработкой электроэнергии 1275,2 млн кВт.ч, расположенных во всех районах республики.</w:t>
            </w:r>
          </w:p>
          <w:p w:rsidR="002B72CA" w:rsidRPr="00D423B2" w:rsidRDefault="002B72CA" w:rsidP="003C482D">
            <w:pPr>
              <w:widowControl w:val="0"/>
              <w:autoSpaceDE w:val="0"/>
              <w:autoSpaceDN w:val="0"/>
              <w:jc w:val="both"/>
              <w:rPr>
                <w:rFonts w:ascii="Times New Roman" w:hAnsi="Times New Roman" w:cs="Times New Roman"/>
                <w:sz w:val="24"/>
                <w:szCs w:val="24"/>
              </w:rPr>
            </w:pPr>
          </w:p>
          <w:p w:rsidR="002B72CA" w:rsidRPr="00D423B2" w:rsidRDefault="001F508B" w:rsidP="001F508B">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409DAEEA" wp14:editId="7C4C2F61">
                  <wp:extent cx="2792730" cy="1531447"/>
                  <wp:effectExtent l="0" t="0" r="762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05504" cy="1538452"/>
                          </a:xfrm>
                          <a:prstGeom prst="rect">
                            <a:avLst/>
                          </a:prstGeom>
                          <a:noFill/>
                        </pic:spPr>
                      </pic:pic>
                    </a:graphicData>
                  </a:graphic>
                </wp:inline>
              </w:drawing>
            </w:r>
          </w:p>
          <w:p w:rsidR="0073088D" w:rsidRPr="00D423B2" w:rsidRDefault="0073088D" w:rsidP="001F508B">
            <w:pPr>
              <w:widowControl w:val="0"/>
              <w:autoSpaceDE w:val="0"/>
              <w:autoSpaceDN w:val="0"/>
              <w:jc w:val="center"/>
              <w:rPr>
                <w:rFonts w:ascii="Times New Roman" w:eastAsia="Times New Roman" w:hAnsi="Times New Roman" w:cs="Times New Roman"/>
                <w:sz w:val="24"/>
                <w:szCs w:val="24"/>
                <w:lang w:eastAsia="ru-RU"/>
              </w:rPr>
            </w:pPr>
          </w:p>
          <w:p w:rsidR="00C27C27" w:rsidRPr="00D423B2" w:rsidRDefault="00C27C27" w:rsidP="00C27C27">
            <w:pPr>
              <w:pStyle w:val="ConsPlusNormal"/>
              <w:jc w:val="center"/>
              <w:rPr>
                <w:rFonts w:ascii="Times New Roman" w:hAnsi="Times New Roman" w:cs="Times New Roman"/>
                <w:sz w:val="24"/>
                <w:szCs w:val="24"/>
              </w:rPr>
            </w:pPr>
            <w:r w:rsidRPr="00D423B2">
              <w:rPr>
                <w:rFonts w:ascii="Times New Roman" w:hAnsi="Times New Roman" w:cs="Times New Roman"/>
                <w:sz w:val="24"/>
                <w:szCs w:val="24"/>
              </w:rPr>
              <w:t>Рис. 24. Среднегодовые скорости ветра на высоте 50 метров</w:t>
            </w:r>
          </w:p>
          <w:p w:rsidR="00C27C27" w:rsidRPr="00D423B2" w:rsidRDefault="00C27C27" w:rsidP="00C27C27">
            <w:pPr>
              <w:pStyle w:val="ConsPlusNormal"/>
              <w:ind w:firstLine="540"/>
              <w:jc w:val="both"/>
              <w:rPr>
                <w:rFonts w:ascii="Times New Roman" w:hAnsi="Times New Roman" w:cs="Times New Roman"/>
                <w:sz w:val="26"/>
                <w:szCs w:val="26"/>
              </w:rPr>
            </w:pPr>
          </w:p>
          <w:p w:rsidR="00CA6F6D" w:rsidRPr="00D423B2" w:rsidRDefault="00CA6F6D" w:rsidP="00CA6F6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Важнейшей характеристикой, определяющей энергетическую ценность ветра, является его средняя годовая скорость. Установлено, что средняя годовая скорость ветра в условиях метеостанции заметно изменяется на территории Республики Татарстан и составляет 3,3 - 3,5 метра в секунду.</w:t>
            </w:r>
          </w:p>
          <w:p w:rsidR="00CA6F6D" w:rsidRPr="00D423B2" w:rsidRDefault="00CA6F6D" w:rsidP="00CA6F6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Наиболее благоприятные ветровые условия имеются на правом берегу р. Волги, вдоль берегов Куйбышевского и Нижнекамского водохранилищ, восточной части Бугульминско-Белебеевской возвышенности.</w:t>
            </w:r>
          </w:p>
          <w:p w:rsidR="00CA6F6D" w:rsidRPr="00D423B2" w:rsidRDefault="00CA6F6D" w:rsidP="00CA6F6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Наибольшим ветропотенциалом обладают Альметьевский (73,8 млн кВт.ч), Бугульминский (59,4 млн кВт.ч), Зеленодольский (59,1 млн кВт.ч), Тетюшский (57,0 млн кВт.ч), Верхнеуслонский (50,4 млн кВт.ч) районы, и с 2017 года можно рассмотреть целесообразность строительства в этих районах ветроэлектростанций (таблица 18).</w:t>
            </w:r>
          </w:p>
          <w:p w:rsidR="00CA6F6D" w:rsidRPr="00D423B2" w:rsidRDefault="00CA6F6D" w:rsidP="00CA6F6D">
            <w:pPr>
              <w:pStyle w:val="ConsPlusNormal"/>
              <w:jc w:val="both"/>
              <w:rPr>
                <w:rFonts w:ascii="Times New Roman" w:hAnsi="Times New Roman" w:cs="Times New Roman"/>
                <w:sz w:val="24"/>
                <w:szCs w:val="24"/>
              </w:rPr>
            </w:pPr>
          </w:p>
          <w:p w:rsidR="00CA6F6D" w:rsidRPr="00D423B2" w:rsidRDefault="00CA6F6D" w:rsidP="00CA6F6D">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18</w:t>
            </w:r>
          </w:p>
          <w:p w:rsidR="00CA6F6D" w:rsidRPr="00D423B2" w:rsidRDefault="00CA6F6D" w:rsidP="00CA6F6D">
            <w:pPr>
              <w:pStyle w:val="ConsPlusNormal"/>
              <w:ind w:firstLine="540"/>
              <w:rPr>
                <w:rFonts w:ascii="Times New Roman" w:hAnsi="Times New Roman" w:cs="Times New Roman"/>
                <w:sz w:val="24"/>
                <w:szCs w:val="24"/>
              </w:rPr>
            </w:pPr>
          </w:p>
          <w:p w:rsidR="00CA6F6D" w:rsidRPr="00D423B2" w:rsidRDefault="00CA6F6D" w:rsidP="00FA51B8">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Программа строительства малых ВЭС в Республике Татарстан</w:t>
            </w:r>
          </w:p>
          <w:p w:rsidR="0073088D" w:rsidRPr="00D423B2" w:rsidRDefault="0073088D" w:rsidP="00FA51B8">
            <w:pPr>
              <w:widowControl w:val="0"/>
              <w:autoSpaceDE w:val="0"/>
              <w:autoSpaceDN w:val="0"/>
              <w:jc w:val="center"/>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378"/>
              <w:gridCol w:w="1001"/>
              <w:gridCol w:w="566"/>
              <w:gridCol w:w="660"/>
              <w:gridCol w:w="660"/>
              <w:gridCol w:w="891"/>
            </w:tblGrid>
            <w:tr w:rsidR="00D423B2" w:rsidRPr="00D423B2" w:rsidTr="002E4F12">
              <w:trPr>
                <w:trHeight w:val="307"/>
              </w:trPr>
              <w:tc>
                <w:tcPr>
                  <w:tcW w:w="1378"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Наименование района/годы</w:t>
                  </w:r>
                </w:p>
              </w:tc>
              <w:tc>
                <w:tcPr>
                  <w:tcW w:w="1001" w:type="dxa"/>
                  <w:vAlign w:val="center"/>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2017</w:t>
                  </w:r>
                </w:p>
              </w:tc>
              <w:tc>
                <w:tcPr>
                  <w:tcW w:w="566" w:type="dxa"/>
                  <w:vAlign w:val="center"/>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2018</w:t>
                  </w:r>
                </w:p>
              </w:tc>
              <w:tc>
                <w:tcPr>
                  <w:tcW w:w="660" w:type="dxa"/>
                  <w:vAlign w:val="center"/>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2019</w:t>
                  </w:r>
                </w:p>
              </w:tc>
              <w:tc>
                <w:tcPr>
                  <w:tcW w:w="660" w:type="dxa"/>
                  <w:vAlign w:val="center"/>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2020</w:t>
                  </w:r>
                </w:p>
              </w:tc>
              <w:tc>
                <w:tcPr>
                  <w:tcW w:w="891" w:type="dxa"/>
                  <w:vAlign w:val="center"/>
                </w:tcPr>
                <w:p w:rsidR="00FA51B8" w:rsidRPr="00D423B2" w:rsidRDefault="00FA51B8" w:rsidP="00FA51B8">
                  <w:pPr>
                    <w:pStyle w:val="ConsPlusNormal"/>
                    <w:jc w:val="center"/>
                    <w:rPr>
                      <w:sz w:val="16"/>
                      <w:szCs w:val="16"/>
                    </w:rPr>
                  </w:pPr>
                  <w:r w:rsidRPr="00D423B2">
                    <w:rPr>
                      <w:sz w:val="16"/>
                      <w:szCs w:val="16"/>
                    </w:rPr>
                    <w:t>2021 - 2030</w:t>
                  </w:r>
                </w:p>
              </w:tc>
            </w:tr>
            <w:tr w:rsidR="00D423B2" w:rsidRPr="00D423B2" w:rsidTr="002E4F12">
              <w:trPr>
                <w:trHeight w:val="153"/>
              </w:trPr>
              <w:tc>
                <w:tcPr>
                  <w:tcW w:w="1378" w:type="dxa"/>
                </w:tcPr>
                <w:p w:rsidR="00FA51B8" w:rsidRPr="00D423B2" w:rsidRDefault="00FA51B8" w:rsidP="00FA51B8">
                  <w:pPr>
                    <w:pStyle w:val="ConsPlusNormal"/>
                    <w:rPr>
                      <w:rFonts w:ascii="Times New Roman" w:hAnsi="Times New Roman" w:cs="Times New Roman"/>
                      <w:sz w:val="16"/>
                      <w:szCs w:val="16"/>
                    </w:rPr>
                  </w:pPr>
                  <w:r w:rsidRPr="00D423B2">
                    <w:rPr>
                      <w:rFonts w:ascii="Times New Roman" w:hAnsi="Times New Roman" w:cs="Times New Roman"/>
                      <w:sz w:val="16"/>
                      <w:szCs w:val="16"/>
                    </w:rPr>
                    <w:t>Альметьевский</w:t>
                  </w:r>
                </w:p>
              </w:tc>
              <w:tc>
                <w:tcPr>
                  <w:tcW w:w="1001"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начало строительства</w:t>
                  </w:r>
                </w:p>
              </w:tc>
              <w:tc>
                <w:tcPr>
                  <w:tcW w:w="566"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w:t>
                  </w:r>
                </w:p>
              </w:tc>
              <w:tc>
                <w:tcPr>
                  <w:tcW w:w="660"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w:t>
                  </w:r>
                </w:p>
              </w:tc>
              <w:tc>
                <w:tcPr>
                  <w:tcW w:w="660"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w:t>
                  </w:r>
                </w:p>
              </w:tc>
              <w:tc>
                <w:tcPr>
                  <w:tcW w:w="891" w:type="dxa"/>
                </w:tcPr>
                <w:p w:rsidR="00FA51B8" w:rsidRPr="00D423B2" w:rsidRDefault="00FA51B8" w:rsidP="00FA51B8">
                  <w:pPr>
                    <w:pStyle w:val="ConsPlusNormal"/>
                    <w:jc w:val="center"/>
                    <w:rPr>
                      <w:sz w:val="16"/>
                      <w:szCs w:val="16"/>
                    </w:rPr>
                  </w:pPr>
                  <w:r w:rsidRPr="00D423B2">
                    <w:rPr>
                      <w:sz w:val="16"/>
                      <w:szCs w:val="16"/>
                    </w:rPr>
                    <w:t>7</w:t>
                  </w:r>
                </w:p>
              </w:tc>
            </w:tr>
            <w:tr w:rsidR="00D423B2" w:rsidRPr="00D423B2" w:rsidTr="002E4F12">
              <w:trPr>
                <w:trHeight w:val="153"/>
              </w:trPr>
              <w:tc>
                <w:tcPr>
                  <w:tcW w:w="1378" w:type="dxa"/>
                </w:tcPr>
                <w:p w:rsidR="00FA51B8" w:rsidRPr="00D423B2" w:rsidRDefault="00FA51B8" w:rsidP="00FA51B8">
                  <w:pPr>
                    <w:pStyle w:val="ConsPlusNormal"/>
                    <w:rPr>
                      <w:rFonts w:ascii="Times New Roman" w:hAnsi="Times New Roman" w:cs="Times New Roman"/>
                      <w:sz w:val="16"/>
                      <w:szCs w:val="16"/>
                    </w:rPr>
                  </w:pPr>
                  <w:r w:rsidRPr="00D423B2">
                    <w:rPr>
                      <w:rFonts w:ascii="Times New Roman" w:hAnsi="Times New Roman" w:cs="Times New Roman"/>
                      <w:sz w:val="16"/>
                      <w:szCs w:val="16"/>
                    </w:rPr>
                    <w:t>Бугульминский</w:t>
                  </w:r>
                </w:p>
              </w:tc>
              <w:tc>
                <w:tcPr>
                  <w:tcW w:w="1001"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начало строительства</w:t>
                  </w:r>
                </w:p>
              </w:tc>
              <w:tc>
                <w:tcPr>
                  <w:tcW w:w="566"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w:t>
                  </w:r>
                </w:p>
              </w:tc>
              <w:tc>
                <w:tcPr>
                  <w:tcW w:w="660"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w:t>
                  </w:r>
                </w:p>
              </w:tc>
              <w:tc>
                <w:tcPr>
                  <w:tcW w:w="660"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w:t>
                  </w:r>
                </w:p>
              </w:tc>
              <w:tc>
                <w:tcPr>
                  <w:tcW w:w="891" w:type="dxa"/>
                </w:tcPr>
                <w:p w:rsidR="00FA51B8" w:rsidRPr="00D423B2" w:rsidRDefault="00FA51B8" w:rsidP="00FA51B8">
                  <w:pPr>
                    <w:pStyle w:val="ConsPlusNormal"/>
                    <w:jc w:val="center"/>
                    <w:rPr>
                      <w:sz w:val="16"/>
                      <w:szCs w:val="16"/>
                    </w:rPr>
                  </w:pPr>
                  <w:r w:rsidRPr="00D423B2">
                    <w:rPr>
                      <w:sz w:val="16"/>
                      <w:szCs w:val="16"/>
                    </w:rPr>
                    <w:t>5</w:t>
                  </w:r>
                </w:p>
              </w:tc>
            </w:tr>
            <w:tr w:rsidR="00D423B2" w:rsidRPr="00D423B2" w:rsidTr="002E4F12">
              <w:trPr>
                <w:trHeight w:val="162"/>
              </w:trPr>
              <w:tc>
                <w:tcPr>
                  <w:tcW w:w="1378" w:type="dxa"/>
                </w:tcPr>
                <w:p w:rsidR="00FA51B8" w:rsidRPr="00D423B2" w:rsidRDefault="00FA51B8" w:rsidP="00FA51B8">
                  <w:pPr>
                    <w:pStyle w:val="ConsPlusNormal"/>
                    <w:rPr>
                      <w:rFonts w:ascii="Times New Roman" w:hAnsi="Times New Roman" w:cs="Times New Roman"/>
                      <w:sz w:val="16"/>
                      <w:szCs w:val="16"/>
                    </w:rPr>
                  </w:pPr>
                  <w:r w:rsidRPr="00D423B2">
                    <w:rPr>
                      <w:rFonts w:ascii="Times New Roman" w:hAnsi="Times New Roman" w:cs="Times New Roman"/>
                      <w:sz w:val="16"/>
                      <w:szCs w:val="16"/>
                    </w:rPr>
                    <w:t>Зеленодольский</w:t>
                  </w:r>
                </w:p>
              </w:tc>
              <w:tc>
                <w:tcPr>
                  <w:tcW w:w="1001"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начало строительства</w:t>
                  </w:r>
                </w:p>
              </w:tc>
              <w:tc>
                <w:tcPr>
                  <w:tcW w:w="566"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w:t>
                  </w:r>
                </w:p>
              </w:tc>
              <w:tc>
                <w:tcPr>
                  <w:tcW w:w="660"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w:t>
                  </w:r>
                </w:p>
              </w:tc>
              <w:tc>
                <w:tcPr>
                  <w:tcW w:w="660"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w:t>
                  </w:r>
                </w:p>
              </w:tc>
              <w:tc>
                <w:tcPr>
                  <w:tcW w:w="891" w:type="dxa"/>
                </w:tcPr>
                <w:p w:rsidR="00FA51B8" w:rsidRPr="00D423B2" w:rsidRDefault="00FA51B8" w:rsidP="00FA51B8">
                  <w:pPr>
                    <w:pStyle w:val="ConsPlusNormal"/>
                    <w:jc w:val="center"/>
                    <w:rPr>
                      <w:sz w:val="16"/>
                      <w:szCs w:val="16"/>
                    </w:rPr>
                  </w:pPr>
                  <w:r w:rsidRPr="00D423B2">
                    <w:rPr>
                      <w:sz w:val="16"/>
                      <w:szCs w:val="16"/>
                    </w:rPr>
                    <w:t>5</w:t>
                  </w:r>
                </w:p>
              </w:tc>
            </w:tr>
            <w:tr w:rsidR="00D423B2" w:rsidRPr="00D423B2" w:rsidTr="002E4F12">
              <w:trPr>
                <w:trHeight w:val="153"/>
              </w:trPr>
              <w:tc>
                <w:tcPr>
                  <w:tcW w:w="1378" w:type="dxa"/>
                </w:tcPr>
                <w:p w:rsidR="00FA51B8" w:rsidRPr="00D423B2" w:rsidRDefault="00FA51B8" w:rsidP="00FA51B8">
                  <w:pPr>
                    <w:pStyle w:val="ConsPlusNormal"/>
                    <w:rPr>
                      <w:rFonts w:ascii="Times New Roman" w:hAnsi="Times New Roman" w:cs="Times New Roman"/>
                      <w:sz w:val="16"/>
                      <w:szCs w:val="16"/>
                    </w:rPr>
                  </w:pPr>
                  <w:r w:rsidRPr="00D423B2">
                    <w:rPr>
                      <w:rFonts w:ascii="Times New Roman" w:hAnsi="Times New Roman" w:cs="Times New Roman"/>
                      <w:sz w:val="16"/>
                      <w:szCs w:val="16"/>
                    </w:rPr>
                    <w:t>Тетюшский</w:t>
                  </w:r>
                </w:p>
              </w:tc>
              <w:tc>
                <w:tcPr>
                  <w:tcW w:w="1001"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начало строительства</w:t>
                  </w:r>
                </w:p>
              </w:tc>
              <w:tc>
                <w:tcPr>
                  <w:tcW w:w="566"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w:t>
                  </w:r>
                </w:p>
              </w:tc>
              <w:tc>
                <w:tcPr>
                  <w:tcW w:w="660"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w:t>
                  </w:r>
                </w:p>
              </w:tc>
              <w:tc>
                <w:tcPr>
                  <w:tcW w:w="660"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w:t>
                  </w:r>
                </w:p>
              </w:tc>
              <w:tc>
                <w:tcPr>
                  <w:tcW w:w="891" w:type="dxa"/>
                </w:tcPr>
                <w:p w:rsidR="00FA51B8" w:rsidRPr="00D423B2" w:rsidRDefault="00FA51B8" w:rsidP="00FA51B8">
                  <w:pPr>
                    <w:pStyle w:val="ConsPlusNormal"/>
                    <w:jc w:val="center"/>
                    <w:rPr>
                      <w:sz w:val="16"/>
                      <w:szCs w:val="16"/>
                    </w:rPr>
                  </w:pPr>
                  <w:r w:rsidRPr="00D423B2">
                    <w:rPr>
                      <w:sz w:val="16"/>
                      <w:szCs w:val="16"/>
                    </w:rPr>
                    <w:t>6</w:t>
                  </w:r>
                </w:p>
              </w:tc>
            </w:tr>
            <w:tr w:rsidR="00D423B2" w:rsidRPr="00D423B2" w:rsidTr="002E4F12">
              <w:trPr>
                <w:trHeight w:val="162"/>
              </w:trPr>
              <w:tc>
                <w:tcPr>
                  <w:tcW w:w="1378" w:type="dxa"/>
                </w:tcPr>
                <w:p w:rsidR="00FA51B8" w:rsidRPr="00D423B2" w:rsidRDefault="00FA51B8" w:rsidP="00FA51B8">
                  <w:pPr>
                    <w:pStyle w:val="ConsPlusNormal"/>
                    <w:rPr>
                      <w:rFonts w:ascii="Times New Roman" w:hAnsi="Times New Roman" w:cs="Times New Roman"/>
                      <w:sz w:val="16"/>
                      <w:szCs w:val="16"/>
                    </w:rPr>
                  </w:pPr>
                  <w:r w:rsidRPr="00D423B2">
                    <w:rPr>
                      <w:rFonts w:ascii="Times New Roman" w:hAnsi="Times New Roman" w:cs="Times New Roman"/>
                      <w:sz w:val="16"/>
                      <w:szCs w:val="16"/>
                    </w:rPr>
                    <w:t>Верхнеуслонский</w:t>
                  </w:r>
                </w:p>
              </w:tc>
              <w:tc>
                <w:tcPr>
                  <w:tcW w:w="1001"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начало строительства</w:t>
                  </w:r>
                </w:p>
              </w:tc>
              <w:tc>
                <w:tcPr>
                  <w:tcW w:w="566"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w:t>
                  </w:r>
                </w:p>
              </w:tc>
              <w:tc>
                <w:tcPr>
                  <w:tcW w:w="660"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w:t>
                  </w:r>
                </w:p>
              </w:tc>
              <w:tc>
                <w:tcPr>
                  <w:tcW w:w="660" w:type="dxa"/>
                </w:tcPr>
                <w:p w:rsidR="00FA51B8" w:rsidRPr="00D423B2" w:rsidRDefault="00FA51B8" w:rsidP="00FA51B8">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w:t>
                  </w:r>
                </w:p>
              </w:tc>
              <w:tc>
                <w:tcPr>
                  <w:tcW w:w="891" w:type="dxa"/>
                </w:tcPr>
                <w:p w:rsidR="00FA51B8" w:rsidRPr="00D423B2" w:rsidRDefault="00FA51B8" w:rsidP="00FA51B8">
                  <w:pPr>
                    <w:pStyle w:val="ConsPlusNormal"/>
                    <w:jc w:val="center"/>
                    <w:rPr>
                      <w:sz w:val="16"/>
                      <w:szCs w:val="16"/>
                    </w:rPr>
                  </w:pPr>
                  <w:r w:rsidRPr="00D423B2">
                    <w:rPr>
                      <w:sz w:val="16"/>
                      <w:szCs w:val="16"/>
                    </w:rPr>
                    <w:t>5</w:t>
                  </w:r>
                </w:p>
              </w:tc>
            </w:tr>
          </w:tbl>
          <w:p w:rsidR="00FA51B8" w:rsidRPr="00D423B2" w:rsidRDefault="00FA51B8" w:rsidP="00FA51B8">
            <w:pPr>
              <w:widowControl w:val="0"/>
              <w:autoSpaceDE w:val="0"/>
              <w:autoSpaceDN w:val="0"/>
              <w:jc w:val="center"/>
              <w:rPr>
                <w:rFonts w:ascii="Times New Roman" w:eastAsia="Times New Roman" w:hAnsi="Times New Roman" w:cs="Times New Roman"/>
                <w:sz w:val="24"/>
                <w:szCs w:val="24"/>
                <w:lang w:eastAsia="ru-RU"/>
              </w:rPr>
            </w:pPr>
          </w:p>
          <w:p w:rsidR="00C468F0" w:rsidRPr="00D423B2" w:rsidRDefault="00C468F0" w:rsidP="004D4426">
            <w:pPr>
              <w:jc w:val="center"/>
              <w:rPr>
                <w:rFonts w:ascii="Times New Roman" w:hAnsi="Times New Roman" w:cs="Times New Roman"/>
                <w:sz w:val="18"/>
                <w:szCs w:val="18"/>
              </w:rPr>
            </w:pPr>
          </w:p>
          <w:p w:rsidR="00E22998" w:rsidRPr="00D423B2" w:rsidRDefault="00E22998" w:rsidP="00E2299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4.4.3. Лесные ресурсы</w:t>
            </w:r>
          </w:p>
          <w:p w:rsidR="00E22998" w:rsidRPr="00D423B2" w:rsidRDefault="00E22998" w:rsidP="00E2299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Республике Татарстан ежегодно образуется около 64 тыс. тонн древесных отходов (опилки, стружка, горбыль, щепа, обрезь, древесные строительные отходы), объем собранных и используемых древесных отходов составляет порядка 760 тонн (1,2 процента).</w:t>
            </w:r>
          </w:p>
          <w:p w:rsidR="00E22998" w:rsidRPr="00D423B2" w:rsidRDefault="00E22998" w:rsidP="00E2299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Лесосечный фонд республики ежегодно составляет порядка 1800 тыс. куб. метров и используется лишь на 25 - 30 процентов, поскольку не представляет коммерческого интереса (мягколиственные породы и сухостойный дуб). Таким образом, в республике имеется ресурсная база для развития ВИЭ на основе древесного материала.</w:t>
            </w:r>
          </w:p>
          <w:p w:rsidR="00E22998" w:rsidRPr="00D423B2" w:rsidRDefault="00E22998" w:rsidP="00E2299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рамках реализации проектов в области биоэнергетики на основе древесного топлива совместно с инновационной компанией ООО "Энерголеспром" и учеными федерального государственного бюджетного образовательного учреждения высшего профессионального образования "Казанский национальный исследовательский технологический университет" на базе государственного бюджетного учреждения "Учебно-опытный Пригородный лесхоз" реализуется инновационный проект по разработке технологии термохимической переработки низкотоварной древесины в жидкое биотопливо и древесный уголь.</w:t>
            </w:r>
          </w:p>
          <w:p w:rsidR="002D3082" w:rsidRPr="00D423B2" w:rsidRDefault="00E22998" w:rsidP="00E22998">
            <w:pPr>
              <w:jc w:val="both"/>
              <w:rPr>
                <w:rFonts w:ascii="Times New Roman" w:hAnsi="Times New Roman" w:cs="Times New Roman"/>
                <w:sz w:val="24"/>
                <w:szCs w:val="24"/>
              </w:rPr>
            </w:pPr>
            <w:r w:rsidRPr="00D423B2">
              <w:rPr>
                <w:rFonts w:ascii="Times New Roman" w:hAnsi="Times New Roman" w:cs="Times New Roman"/>
                <w:sz w:val="24"/>
                <w:szCs w:val="24"/>
              </w:rPr>
              <w:t xml:space="preserve">         Малая инновационная компания ООО "Энерголеспром", являясь резидентом инновационного центра "Сколково", при поддержке Министерства лесного хозяйства Республики Татарстан и некоммерческой организации "Инвестиционно-венчурный фонд Республики Татарстан" разработала опытно-экспериментальные установки для переработки низкотоварной древесины, лесосечных отходов производительностью 50 кг/ч (коэффициент полезного действия - 80 - 85 процентов) и испытывает их в Столбищенском участковом лесничестве. Объем капитальных и текущих затрат составляет 4 млн рублей, энергетическая эффективность переработки - 65 - 70 процентов. Положительным экологическим эффектом является утилизация отходов и реализация товарной продукции для внутреннего потребления и жилищно-коммунальной сферы</w:t>
            </w:r>
          </w:p>
          <w:p w:rsidR="00E22998" w:rsidRPr="00D423B2" w:rsidRDefault="00E22998" w:rsidP="00E2299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настоящее время компанией разрабатываются передвижные производственные комплексы для переработки низкотоварной древесины и лесосечных отходов производительностью 500 - 1000 кг/ч (3,3 - 6,6 куб. метров в час щепы).</w:t>
            </w:r>
          </w:p>
          <w:p w:rsidR="00967D64" w:rsidRPr="00D423B2" w:rsidRDefault="00967D64" w:rsidP="00E22998">
            <w:pPr>
              <w:pStyle w:val="ConsPlusNormal"/>
              <w:ind w:firstLine="540"/>
              <w:jc w:val="both"/>
              <w:rPr>
                <w:rFonts w:ascii="Times New Roman" w:hAnsi="Times New Roman" w:cs="Times New Roman"/>
                <w:sz w:val="24"/>
                <w:szCs w:val="24"/>
              </w:rPr>
            </w:pPr>
          </w:p>
          <w:p w:rsidR="00967D64" w:rsidRPr="00D423B2" w:rsidRDefault="00967D64" w:rsidP="00967D6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4.4.4. Использование биогаза</w:t>
            </w:r>
          </w:p>
          <w:p w:rsidR="00967D64" w:rsidRPr="00D423B2" w:rsidRDefault="00967D64" w:rsidP="00967D64">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Потенциальные возможности сырьевой базы использования биогаза в Республике Татарстан с учетом существующего поголовья скота и птицы представлены в таблице 19.</w:t>
            </w:r>
          </w:p>
          <w:p w:rsidR="00967D64" w:rsidRPr="00D423B2" w:rsidRDefault="00967D64" w:rsidP="00967D64">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19</w:t>
            </w:r>
          </w:p>
          <w:p w:rsidR="00967D64" w:rsidRPr="00D423B2" w:rsidRDefault="00967D64" w:rsidP="00967D64">
            <w:pPr>
              <w:pStyle w:val="ConsPlusNormal"/>
              <w:ind w:firstLine="540"/>
              <w:jc w:val="right"/>
              <w:rPr>
                <w:rFonts w:ascii="Times New Roman" w:hAnsi="Times New Roman" w:cs="Times New Roman"/>
                <w:sz w:val="24"/>
                <w:szCs w:val="24"/>
              </w:rPr>
            </w:pPr>
          </w:p>
          <w:p w:rsidR="00967D64" w:rsidRPr="00D423B2" w:rsidRDefault="00967D64" w:rsidP="00967D64">
            <w:pPr>
              <w:pStyle w:val="ConsPlusNormal"/>
              <w:ind w:firstLine="540"/>
              <w:jc w:val="center"/>
              <w:rPr>
                <w:rFonts w:ascii="Times New Roman" w:hAnsi="Times New Roman" w:cs="Times New Roman"/>
                <w:sz w:val="24"/>
                <w:szCs w:val="24"/>
              </w:rPr>
            </w:pPr>
            <w:r w:rsidRPr="00D423B2">
              <w:rPr>
                <w:rFonts w:ascii="Times New Roman" w:hAnsi="Times New Roman" w:cs="Times New Roman"/>
                <w:sz w:val="24"/>
                <w:szCs w:val="24"/>
              </w:rPr>
              <w:t>Потенциальные возможности сырьевой базы использования биогаза в Республике Татарстан</w:t>
            </w:r>
          </w:p>
          <w:p w:rsidR="00541004" w:rsidRPr="00D423B2" w:rsidRDefault="00541004" w:rsidP="00967D64">
            <w:pPr>
              <w:pStyle w:val="ConsPlusNormal"/>
              <w:ind w:firstLine="540"/>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24"/>
              <w:gridCol w:w="567"/>
              <w:gridCol w:w="649"/>
              <w:gridCol w:w="1087"/>
              <w:gridCol w:w="656"/>
              <w:gridCol w:w="946"/>
              <w:gridCol w:w="686"/>
            </w:tblGrid>
            <w:tr w:rsidR="00D423B2" w:rsidRPr="00D423B2" w:rsidTr="00BC1258">
              <w:trPr>
                <w:trHeight w:val="605"/>
              </w:trPr>
              <w:tc>
                <w:tcPr>
                  <w:tcW w:w="1091" w:type="dxa"/>
                  <w:gridSpan w:val="2"/>
                  <w:vMerge w:val="restart"/>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Поголовье скота и птицы, тыс. голов</w:t>
                  </w:r>
                </w:p>
              </w:tc>
              <w:tc>
                <w:tcPr>
                  <w:tcW w:w="649" w:type="dxa"/>
                  <w:vMerge w:val="restart"/>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Выход навоза в сутки, тонн</w:t>
                  </w:r>
                </w:p>
              </w:tc>
              <w:tc>
                <w:tcPr>
                  <w:tcW w:w="1087" w:type="dxa"/>
                  <w:vMerge w:val="restart"/>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Количество вырабатываемого биогаза, тыс. куб. метров</w:t>
                  </w:r>
                </w:p>
              </w:tc>
              <w:tc>
                <w:tcPr>
                  <w:tcW w:w="1602" w:type="dxa"/>
                  <w:gridSpan w:val="2"/>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Эквивалент энергии</w:t>
                  </w:r>
                </w:p>
              </w:tc>
              <w:tc>
                <w:tcPr>
                  <w:tcW w:w="686" w:type="dxa"/>
                  <w:vMerge w:val="restart"/>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Выход удобрений в сутки, тонн</w:t>
                  </w:r>
                </w:p>
              </w:tc>
            </w:tr>
            <w:tr w:rsidR="00D423B2" w:rsidRPr="00D423B2" w:rsidTr="00BC1258">
              <w:trPr>
                <w:trHeight w:val="1113"/>
              </w:trPr>
              <w:tc>
                <w:tcPr>
                  <w:tcW w:w="1091" w:type="dxa"/>
                  <w:gridSpan w:val="2"/>
                  <w:vMerge/>
                </w:tcPr>
                <w:p w:rsidR="00541004" w:rsidRPr="00D423B2" w:rsidRDefault="00541004" w:rsidP="00541004">
                  <w:pPr>
                    <w:rPr>
                      <w:rFonts w:ascii="Times New Roman" w:hAnsi="Times New Roman" w:cs="Times New Roman"/>
                      <w:sz w:val="16"/>
                      <w:szCs w:val="16"/>
                    </w:rPr>
                  </w:pPr>
                </w:p>
              </w:tc>
              <w:tc>
                <w:tcPr>
                  <w:tcW w:w="649" w:type="dxa"/>
                  <w:vMerge/>
                </w:tcPr>
                <w:p w:rsidR="00541004" w:rsidRPr="00D423B2" w:rsidRDefault="00541004" w:rsidP="00541004">
                  <w:pPr>
                    <w:rPr>
                      <w:rFonts w:ascii="Times New Roman" w:hAnsi="Times New Roman" w:cs="Times New Roman"/>
                      <w:sz w:val="16"/>
                      <w:szCs w:val="16"/>
                    </w:rPr>
                  </w:pPr>
                </w:p>
              </w:tc>
              <w:tc>
                <w:tcPr>
                  <w:tcW w:w="1087" w:type="dxa"/>
                  <w:vMerge/>
                </w:tcPr>
                <w:p w:rsidR="00541004" w:rsidRPr="00D423B2" w:rsidRDefault="00541004" w:rsidP="00541004">
                  <w:pPr>
                    <w:rPr>
                      <w:rFonts w:ascii="Times New Roman" w:hAnsi="Times New Roman" w:cs="Times New Roman"/>
                      <w:sz w:val="16"/>
                      <w:szCs w:val="16"/>
                    </w:rPr>
                  </w:pPr>
                </w:p>
              </w:tc>
              <w:tc>
                <w:tcPr>
                  <w:tcW w:w="65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тепловой, Гкал</w:t>
                  </w:r>
                </w:p>
              </w:tc>
              <w:tc>
                <w:tcPr>
                  <w:tcW w:w="945"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электрической, кВт.ч</w:t>
                  </w:r>
                </w:p>
              </w:tc>
              <w:tc>
                <w:tcPr>
                  <w:tcW w:w="686" w:type="dxa"/>
                  <w:vMerge/>
                </w:tcPr>
                <w:p w:rsidR="00541004" w:rsidRPr="00D423B2" w:rsidRDefault="00541004" w:rsidP="00541004">
                  <w:pPr>
                    <w:rPr>
                      <w:rFonts w:ascii="Times New Roman" w:hAnsi="Times New Roman" w:cs="Times New Roman"/>
                      <w:sz w:val="16"/>
                      <w:szCs w:val="16"/>
                    </w:rPr>
                  </w:pPr>
                </w:p>
              </w:tc>
            </w:tr>
            <w:tr w:rsidR="00D423B2" w:rsidRPr="00D423B2" w:rsidTr="00BC1258">
              <w:trPr>
                <w:trHeight w:val="427"/>
              </w:trPr>
              <w:tc>
                <w:tcPr>
                  <w:tcW w:w="524" w:type="dxa"/>
                </w:tcPr>
                <w:p w:rsidR="00541004" w:rsidRPr="00D423B2" w:rsidRDefault="00541004" w:rsidP="00541004">
                  <w:pPr>
                    <w:pStyle w:val="ConsPlusNormal"/>
                    <w:rPr>
                      <w:rFonts w:ascii="Times New Roman" w:hAnsi="Times New Roman" w:cs="Times New Roman"/>
                      <w:sz w:val="16"/>
                      <w:szCs w:val="16"/>
                    </w:rPr>
                  </w:pPr>
                  <w:r w:rsidRPr="00D423B2">
                    <w:rPr>
                      <w:rFonts w:ascii="Times New Roman" w:hAnsi="Times New Roman" w:cs="Times New Roman"/>
                      <w:sz w:val="16"/>
                      <w:szCs w:val="16"/>
                    </w:rPr>
                    <w:t>КРС</w:t>
                  </w:r>
                </w:p>
              </w:tc>
              <w:tc>
                <w:tcPr>
                  <w:tcW w:w="56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1 055,1</w:t>
                  </w:r>
                </w:p>
              </w:tc>
              <w:tc>
                <w:tcPr>
                  <w:tcW w:w="649"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17 938</w:t>
                  </w:r>
                </w:p>
              </w:tc>
              <w:tc>
                <w:tcPr>
                  <w:tcW w:w="1087"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1 794</w:t>
                  </w:r>
                </w:p>
              </w:tc>
              <w:tc>
                <w:tcPr>
                  <w:tcW w:w="65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8 478,4</w:t>
                  </w:r>
                </w:p>
              </w:tc>
              <w:tc>
                <w:tcPr>
                  <w:tcW w:w="945"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9 860</w:t>
                  </w:r>
                </w:p>
              </w:tc>
              <w:tc>
                <w:tcPr>
                  <w:tcW w:w="68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17 938</w:t>
                  </w:r>
                </w:p>
              </w:tc>
            </w:tr>
            <w:tr w:rsidR="00D423B2" w:rsidRPr="00D423B2" w:rsidTr="00BC1258">
              <w:trPr>
                <w:trHeight w:val="427"/>
              </w:trPr>
              <w:tc>
                <w:tcPr>
                  <w:tcW w:w="524" w:type="dxa"/>
                </w:tcPr>
                <w:p w:rsidR="00541004" w:rsidRPr="00D423B2" w:rsidRDefault="00541004" w:rsidP="00541004">
                  <w:pPr>
                    <w:pStyle w:val="ConsPlusNormal"/>
                    <w:rPr>
                      <w:rFonts w:ascii="Times New Roman" w:hAnsi="Times New Roman" w:cs="Times New Roman"/>
                      <w:sz w:val="16"/>
                      <w:szCs w:val="16"/>
                    </w:rPr>
                  </w:pPr>
                  <w:r w:rsidRPr="00D423B2">
                    <w:rPr>
                      <w:rFonts w:ascii="Times New Roman" w:hAnsi="Times New Roman" w:cs="Times New Roman"/>
                      <w:sz w:val="16"/>
                      <w:szCs w:val="16"/>
                    </w:rPr>
                    <w:t>Свиньи</w:t>
                  </w:r>
                </w:p>
              </w:tc>
              <w:tc>
                <w:tcPr>
                  <w:tcW w:w="56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525,7</w:t>
                  </w:r>
                </w:p>
              </w:tc>
              <w:tc>
                <w:tcPr>
                  <w:tcW w:w="649"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2 098</w:t>
                  </w:r>
                </w:p>
              </w:tc>
              <w:tc>
                <w:tcPr>
                  <w:tcW w:w="1087"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210</w:t>
                  </w:r>
                </w:p>
              </w:tc>
              <w:tc>
                <w:tcPr>
                  <w:tcW w:w="65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1 461,6</w:t>
                  </w:r>
                </w:p>
              </w:tc>
              <w:tc>
                <w:tcPr>
                  <w:tcW w:w="945"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1 699,8</w:t>
                  </w:r>
                </w:p>
              </w:tc>
              <w:tc>
                <w:tcPr>
                  <w:tcW w:w="68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2 098</w:t>
                  </w:r>
                </w:p>
              </w:tc>
            </w:tr>
            <w:tr w:rsidR="00D423B2" w:rsidRPr="00D423B2" w:rsidTr="00BC1258">
              <w:trPr>
                <w:trHeight w:val="427"/>
              </w:trPr>
              <w:tc>
                <w:tcPr>
                  <w:tcW w:w="524" w:type="dxa"/>
                </w:tcPr>
                <w:p w:rsidR="00541004" w:rsidRPr="00D423B2" w:rsidRDefault="00541004" w:rsidP="00541004">
                  <w:pPr>
                    <w:pStyle w:val="ConsPlusNormal"/>
                    <w:rPr>
                      <w:rFonts w:ascii="Times New Roman" w:hAnsi="Times New Roman" w:cs="Times New Roman"/>
                      <w:sz w:val="16"/>
                      <w:szCs w:val="16"/>
                    </w:rPr>
                  </w:pPr>
                  <w:r w:rsidRPr="00D423B2">
                    <w:rPr>
                      <w:rFonts w:ascii="Times New Roman" w:hAnsi="Times New Roman" w:cs="Times New Roman"/>
                      <w:sz w:val="16"/>
                      <w:szCs w:val="16"/>
                    </w:rPr>
                    <w:t>Птицы</w:t>
                  </w:r>
                </w:p>
              </w:tc>
              <w:tc>
                <w:tcPr>
                  <w:tcW w:w="56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14 198,8</w:t>
                  </w:r>
                </w:p>
              </w:tc>
              <w:tc>
                <w:tcPr>
                  <w:tcW w:w="649"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1 774</w:t>
                  </w:r>
                </w:p>
              </w:tc>
              <w:tc>
                <w:tcPr>
                  <w:tcW w:w="1087"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177</w:t>
                  </w:r>
                </w:p>
              </w:tc>
              <w:tc>
                <w:tcPr>
                  <w:tcW w:w="65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513,5</w:t>
                  </w:r>
                </w:p>
              </w:tc>
              <w:tc>
                <w:tcPr>
                  <w:tcW w:w="945"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597,2</w:t>
                  </w:r>
                </w:p>
              </w:tc>
              <w:tc>
                <w:tcPr>
                  <w:tcW w:w="68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1 774</w:t>
                  </w:r>
                </w:p>
              </w:tc>
            </w:tr>
            <w:tr w:rsidR="00D423B2" w:rsidRPr="00D423B2" w:rsidTr="00BC1258">
              <w:trPr>
                <w:trHeight w:val="859"/>
              </w:trPr>
              <w:tc>
                <w:tcPr>
                  <w:tcW w:w="524" w:type="dxa"/>
                </w:tcPr>
                <w:p w:rsidR="00541004" w:rsidRPr="00D423B2" w:rsidRDefault="00541004" w:rsidP="00541004">
                  <w:pPr>
                    <w:pStyle w:val="ConsPlusNormal"/>
                    <w:rPr>
                      <w:rFonts w:ascii="Times New Roman" w:hAnsi="Times New Roman" w:cs="Times New Roman"/>
                      <w:sz w:val="16"/>
                      <w:szCs w:val="16"/>
                    </w:rPr>
                  </w:pPr>
                  <w:r w:rsidRPr="00D423B2">
                    <w:rPr>
                      <w:rFonts w:ascii="Times New Roman" w:hAnsi="Times New Roman" w:cs="Times New Roman"/>
                      <w:sz w:val="16"/>
                      <w:szCs w:val="16"/>
                    </w:rPr>
                    <w:t>Овцы и козы</w:t>
                  </w:r>
                </w:p>
              </w:tc>
              <w:tc>
                <w:tcPr>
                  <w:tcW w:w="56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404,3</w:t>
                  </w:r>
                </w:p>
              </w:tc>
              <w:tc>
                <w:tcPr>
                  <w:tcW w:w="649"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1 207</w:t>
                  </w:r>
                </w:p>
              </w:tc>
              <w:tc>
                <w:tcPr>
                  <w:tcW w:w="1087"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1 207</w:t>
                  </w:r>
                </w:p>
              </w:tc>
              <w:tc>
                <w:tcPr>
                  <w:tcW w:w="65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107,5</w:t>
                  </w:r>
                </w:p>
              </w:tc>
              <w:tc>
                <w:tcPr>
                  <w:tcW w:w="945"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125</w:t>
                  </w:r>
                </w:p>
              </w:tc>
              <w:tc>
                <w:tcPr>
                  <w:tcW w:w="68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1 207</w:t>
                  </w:r>
                </w:p>
              </w:tc>
            </w:tr>
            <w:tr w:rsidR="00D423B2" w:rsidRPr="00D423B2" w:rsidTr="00BC1258">
              <w:trPr>
                <w:trHeight w:val="454"/>
              </w:trPr>
              <w:tc>
                <w:tcPr>
                  <w:tcW w:w="1091" w:type="dxa"/>
                  <w:gridSpan w:val="2"/>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Всего</w:t>
                  </w:r>
                </w:p>
              </w:tc>
              <w:tc>
                <w:tcPr>
                  <w:tcW w:w="649"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23 017</w:t>
                  </w:r>
                </w:p>
              </w:tc>
              <w:tc>
                <w:tcPr>
                  <w:tcW w:w="1087"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3 388</w:t>
                  </w:r>
                </w:p>
              </w:tc>
              <w:tc>
                <w:tcPr>
                  <w:tcW w:w="65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10 561</w:t>
                  </w:r>
                </w:p>
              </w:tc>
              <w:tc>
                <w:tcPr>
                  <w:tcW w:w="945"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12 282,4</w:t>
                  </w:r>
                </w:p>
              </w:tc>
              <w:tc>
                <w:tcPr>
                  <w:tcW w:w="686" w:type="dxa"/>
                </w:tcPr>
                <w:p w:rsidR="00541004" w:rsidRPr="00D423B2" w:rsidRDefault="00541004" w:rsidP="00541004">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23 017</w:t>
                  </w:r>
                </w:p>
              </w:tc>
            </w:tr>
          </w:tbl>
          <w:p w:rsidR="00541004" w:rsidRPr="00D423B2" w:rsidRDefault="00541004" w:rsidP="00967D64">
            <w:pPr>
              <w:pStyle w:val="ConsPlusNormal"/>
              <w:ind w:firstLine="540"/>
              <w:jc w:val="center"/>
              <w:rPr>
                <w:rFonts w:ascii="Times New Roman" w:hAnsi="Times New Roman" w:cs="Times New Roman"/>
                <w:sz w:val="24"/>
                <w:szCs w:val="24"/>
              </w:rPr>
            </w:pPr>
          </w:p>
          <w:p w:rsidR="003430C7" w:rsidRPr="00D423B2" w:rsidRDefault="003430C7" w:rsidP="003430C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 территории муниципальных районов Республики Татарстан с развитым животноводством необходима переработка навоза и птичьего помета с производством биогаза и биоудобрений.</w:t>
            </w:r>
          </w:p>
          <w:p w:rsidR="003430C7" w:rsidRPr="00D423B2" w:rsidRDefault="003430C7" w:rsidP="003430C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результате реализации таких проектов ежегодно возможно вырабатывать около 53 млн куб. метров биогаза (27 - 37 млн куб. метров метана), 416 тыс. тонн твердого и 303 тыс. куб. метров жидкого биоудобрения.</w:t>
            </w:r>
          </w:p>
          <w:p w:rsidR="003430C7" w:rsidRPr="00D423B2" w:rsidRDefault="003430C7" w:rsidP="003430C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Переработка навоза и помета решает проблему его складирования, снижает риск загрязнения почв, позволяет обеспечивать газом некоторые предприятия агропромышленного комплекса и производить доступные для местных хозяйств высококачественные биоудобрения.</w:t>
            </w:r>
          </w:p>
          <w:p w:rsidR="00B17440" w:rsidRPr="00D423B2" w:rsidRDefault="00B17440" w:rsidP="003430C7">
            <w:pPr>
              <w:pStyle w:val="ConsPlusNormal"/>
              <w:ind w:firstLine="540"/>
              <w:jc w:val="both"/>
              <w:rPr>
                <w:rFonts w:ascii="Times New Roman" w:hAnsi="Times New Roman" w:cs="Times New Roman"/>
                <w:sz w:val="24"/>
                <w:szCs w:val="24"/>
              </w:rPr>
            </w:pPr>
          </w:p>
          <w:p w:rsidR="00B17440" w:rsidRPr="00D423B2" w:rsidRDefault="00B17440" w:rsidP="003430C7">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4.4.5 Тепловые насосы</w:t>
            </w:r>
          </w:p>
          <w:p w:rsidR="003C0EC9" w:rsidRPr="00D423B2" w:rsidRDefault="003C0EC9" w:rsidP="003C0EC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Одним из направлений альтернативной энергетики является внедрение тепловых насосов вместо автономных котельных, работающих на твердом, жидком топливе и электроэнергии. Источником низкопотенциальной теплоты для тепловых насосов могут служить грунтовая вода, наружный воздух, тепло грунта, низкопотенциальные вторичные энергоресурсы.</w:t>
            </w:r>
          </w:p>
          <w:p w:rsidR="003C0EC9" w:rsidRPr="00D423B2" w:rsidRDefault="003C0EC9" w:rsidP="003C0EC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Республике Татарстан с учетом наличия значительного ресурса низкопотенциальной теплоты в отраслях экономики внедрение тепловых насосов является перспективным направлением. Однако практическое использование тепловых насосов в России в настоящее время невелико, общая тепловая мощность всех теплонасосных установок составляет порядка 100 МВт, а их количество не превышает 150 образцов.</w:t>
            </w:r>
          </w:p>
          <w:p w:rsidR="003C0EC9" w:rsidRPr="00D423B2" w:rsidRDefault="003C0EC9" w:rsidP="003C0EC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Одними из основных препятствий на пути внедрения теплонасосной техники являются:</w:t>
            </w:r>
          </w:p>
          <w:p w:rsidR="003C0EC9" w:rsidRPr="00D423B2" w:rsidRDefault="003C0EC9" w:rsidP="003C0EC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широкое распространение в Российской Федерации тепловых электрических станций, топливная эффективность которых при выработке электрической энергии не позволяет реализовать высокоэффективную эксплуатацию тепловых насосов с электрическим приводом;</w:t>
            </w:r>
          </w:p>
          <w:p w:rsidR="003C0EC9" w:rsidRPr="00D423B2" w:rsidRDefault="003C0EC9" w:rsidP="003C0EC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отсутствие на рынке тепловых насосов с механическим приводом, работающих, например, на газовом топливе;</w:t>
            </w:r>
          </w:p>
          <w:p w:rsidR="003C0EC9" w:rsidRPr="00D423B2" w:rsidRDefault="003C0EC9" w:rsidP="003C0EC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достаточно высокая цена тепловых насосов, обуславливающая большой срок их окупаемости.</w:t>
            </w:r>
          </w:p>
          <w:p w:rsidR="003C0EC9" w:rsidRPr="00D423B2" w:rsidRDefault="003C0EC9" w:rsidP="003C0EC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Внедрение тепловых насосов возможно при поддержке государства путем регулирования тарифов и ввода региональными энергосистемами дифференцированной платы за потребленную тепловыми насосами электроэнергию, что может позволить теплонасосной технике прочно занять место электрических и угольных котлов на рынке теплопроизводящего оборудования.</w:t>
            </w:r>
          </w:p>
          <w:p w:rsidR="003C0EC9" w:rsidRPr="00D423B2" w:rsidRDefault="003C0EC9" w:rsidP="003C0EC9">
            <w:pPr>
              <w:widowControl w:val="0"/>
              <w:autoSpaceDE w:val="0"/>
              <w:autoSpaceDN w:val="0"/>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В настоящее время использование тепловых насосов в качестве альтернативных источников энергии для Республики Татарстан является наиболее перспективным.</w:t>
            </w:r>
          </w:p>
          <w:p w:rsidR="0048569D" w:rsidRPr="00D423B2" w:rsidRDefault="0048569D" w:rsidP="003C0EC9">
            <w:pPr>
              <w:widowControl w:val="0"/>
              <w:autoSpaceDE w:val="0"/>
              <w:autoSpaceDN w:val="0"/>
              <w:ind w:firstLine="540"/>
              <w:jc w:val="both"/>
              <w:rPr>
                <w:rFonts w:ascii="Times New Roman" w:eastAsia="Times New Roman" w:hAnsi="Times New Roman" w:cs="Times New Roman"/>
                <w:sz w:val="24"/>
                <w:szCs w:val="24"/>
                <w:lang w:eastAsia="ru-RU"/>
              </w:rPr>
            </w:pPr>
          </w:p>
          <w:p w:rsidR="0048569D" w:rsidRPr="00D423B2" w:rsidRDefault="0048569D" w:rsidP="003C0EC9">
            <w:pPr>
              <w:widowControl w:val="0"/>
              <w:autoSpaceDE w:val="0"/>
              <w:autoSpaceDN w:val="0"/>
              <w:ind w:firstLine="540"/>
              <w:jc w:val="both"/>
              <w:rPr>
                <w:rFonts w:ascii="Times New Roman" w:hAnsi="Times New Roman"/>
                <w:sz w:val="24"/>
                <w:szCs w:val="24"/>
              </w:rPr>
            </w:pPr>
            <w:r w:rsidRPr="00D423B2">
              <w:rPr>
                <w:rFonts w:ascii="Times New Roman" w:hAnsi="Times New Roman"/>
                <w:sz w:val="24"/>
                <w:szCs w:val="24"/>
              </w:rPr>
              <w:t>4.4.6. Турбодетандерные установки</w:t>
            </w:r>
          </w:p>
          <w:p w:rsidR="0048569D" w:rsidRPr="00D423B2" w:rsidRDefault="0048569D" w:rsidP="0048569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 точки зрения энергосбережения при выработке электроэнергии на сегодня весьма перспективна не только утилизация тепла отходящих газов от газотурбинных двигателей, но и утилизация энергии избыточного давления природного газа, подводимого по газопроводам к газораспределительным станциям или газораспределительным пунктам крупных предприятий, компрессорных станций, ТЭЦ.</w:t>
            </w:r>
          </w:p>
          <w:p w:rsidR="0048569D" w:rsidRPr="00D423B2" w:rsidRDefault="0048569D" w:rsidP="0048569D">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Нижегородским филиалом ОАО "Институт Теплоэлектропроект" проведена работа по оценке экономической эффективности детандер-генераторной установки типа ДГА-5000 до газораспределительного пункта ТЭС. При номинальном давлении природного газа до ГРП на уровне 12 кгс/кв. см при расчетах были приняты фактические значения давления газа от 4 до 8 кгс/кв. см. По расчетам специалистов Нижегородского филиала ОАО "Институт Теплоэлектропроект", при номинальном давлении газа 12 кгс/кв. см экономия составит 14000 - 18000 т.у.т. в год, срок окупаемости установки - 6,5 - 7,5 года.</w:t>
            </w:r>
          </w:p>
          <w:p w:rsidR="0048569D" w:rsidRPr="00D423B2" w:rsidRDefault="0048569D" w:rsidP="0048569D">
            <w:pPr>
              <w:widowControl w:val="0"/>
              <w:autoSpaceDE w:val="0"/>
              <w:autoSpaceDN w:val="0"/>
              <w:ind w:firstLine="540"/>
              <w:jc w:val="both"/>
              <w:rPr>
                <w:rFonts w:ascii="Times New Roman" w:hAnsi="Times New Roman" w:cs="Times New Roman"/>
                <w:sz w:val="24"/>
                <w:szCs w:val="24"/>
              </w:rPr>
            </w:pPr>
            <w:r w:rsidRPr="00D423B2">
              <w:rPr>
                <w:rFonts w:ascii="Times New Roman" w:hAnsi="Times New Roman" w:cs="Times New Roman"/>
                <w:sz w:val="24"/>
                <w:szCs w:val="24"/>
              </w:rPr>
              <w:t>Таким образом, разработки в этой области показывают, что развитие технологий малой энергетики и создание собственных автономных энергетических систем на базе высокоэффективных турбодетандерных установок мощностью от 0,5 до 10 мВт в населенных пунктах и различных промышленных объектах являются экономически обоснованными и перспективными.</w:t>
            </w:r>
          </w:p>
          <w:p w:rsidR="00AE5070" w:rsidRPr="00D423B2" w:rsidRDefault="00AE5070" w:rsidP="0048569D">
            <w:pPr>
              <w:widowControl w:val="0"/>
              <w:autoSpaceDE w:val="0"/>
              <w:autoSpaceDN w:val="0"/>
              <w:ind w:firstLine="540"/>
              <w:jc w:val="both"/>
              <w:rPr>
                <w:rFonts w:ascii="Times New Roman" w:hAnsi="Times New Roman" w:cs="Times New Roman"/>
                <w:sz w:val="24"/>
                <w:szCs w:val="24"/>
              </w:rPr>
            </w:pPr>
          </w:p>
          <w:p w:rsidR="00AE5070" w:rsidRPr="00D423B2" w:rsidRDefault="00AE5070" w:rsidP="00AE507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4.4.7. Солнечная энергетика</w:t>
            </w:r>
          </w:p>
          <w:p w:rsidR="00AE5070" w:rsidRPr="00D423B2" w:rsidRDefault="00AE5070" w:rsidP="00AE507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Солнечная энергетика - одно из наиболее динамично развивающихся направлений в мире. Согласно экспертной оценке, если покрыть 0,7 процента земной поверхности солнечными батареями, коэффициент полезного действия которых составляет всего 10 процентов, то полученная энергия обеспечит потребности всего человечества более чем на 100 процентов: 20 ТВт против потребляемых 14 ТВт.</w:t>
            </w:r>
          </w:p>
          <w:p w:rsidR="00AE5070" w:rsidRPr="00D423B2" w:rsidRDefault="00AE5070" w:rsidP="00AE5070">
            <w:pPr>
              <w:pStyle w:val="ConsPlusNormal"/>
              <w:ind w:firstLine="540"/>
              <w:jc w:val="both"/>
              <w:rPr>
                <w:rFonts w:ascii="Times New Roman" w:hAnsi="Times New Roman" w:cs="Times New Roman"/>
                <w:sz w:val="24"/>
                <w:szCs w:val="24"/>
              </w:rPr>
            </w:pPr>
          </w:p>
          <w:p w:rsidR="00AE5070" w:rsidRPr="00D423B2" w:rsidRDefault="00A24B5C" w:rsidP="00AA4A03">
            <w:pPr>
              <w:widowControl w:val="0"/>
              <w:autoSpaceDE w:val="0"/>
              <w:autoSpaceDN w:val="0"/>
              <w:ind w:firstLine="54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11C29D6B" wp14:editId="721DCB0A">
                  <wp:extent cx="2428240" cy="1531157"/>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54391" cy="1547647"/>
                          </a:xfrm>
                          <a:prstGeom prst="rect">
                            <a:avLst/>
                          </a:prstGeom>
                          <a:noFill/>
                        </pic:spPr>
                      </pic:pic>
                    </a:graphicData>
                  </a:graphic>
                </wp:inline>
              </w:drawing>
            </w:r>
          </w:p>
          <w:p w:rsidR="00A24B5C" w:rsidRPr="00D423B2" w:rsidRDefault="00A24B5C" w:rsidP="0048569D">
            <w:pPr>
              <w:widowControl w:val="0"/>
              <w:autoSpaceDE w:val="0"/>
              <w:autoSpaceDN w:val="0"/>
              <w:ind w:firstLine="540"/>
              <w:jc w:val="both"/>
              <w:rPr>
                <w:rFonts w:ascii="Times New Roman" w:eastAsia="Times New Roman" w:hAnsi="Times New Roman" w:cs="Times New Roman"/>
                <w:sz w:val="24"/>
                <w:szCs w:val="24"/>
                <w:lang w:eastAsia="ru-RU"/>
              </w:rPr>
            </w:pPr>
          </w:p>
          <w:p w:rsidR="00253B3A" w:rsidRPr="00D423B2" w:rsidRDefault="00253B3A" w:rsidP="00253B3A">
            <w:pPr>
              <w:pStyle w:val="ConsPlusNormal"/>
              <w:ind w:firstLine="540"/>
              <w:jc w:val="center"/>
              <w:rPr>
                <w:rFonts w:ascii="Times New Roman" w:hAnsi="Times New Roman" w:cs="Times New Roman"/>
                <w:sz w:val="16"/>
                <w:szCs w:val="16"/>
              </w:rPr>
            </w:pPr>
            <w:r w:rsidRPr="00D423B2">
              <w:rPr>
                <w:rFonts w:ascii="Times New Roman" w:hAnsi="Times New Roman" w:cs="Times New Roman"/>
                <w:sz w:val="16"/>
                <w:szCs w:val="16"/>
              </w:rPr>
              <w:t>Рис. 25. Распределение прямой солнечной радиации на следящую за солнцем поверхность (в год)</w:t>
            </w:r>
          </w:p>
          <w:p w:rsidR="006051D0" w:rsidRPr="00D423B2" w:rsidRDefault="006051D0" w:rsidP="00253B3A">
            <w:pPr>
              <w:pStyle w:val="ConsPlusNormal"/>
              <w:ind w:firstLine="540"/>
              <w:jc w:val="center"/>
              <w:rPr>
                <w:rFonts w:ascii="Times New Roman" w:hAnsi="Times New Roman" w:cs="Times New Roman"/>
                <w:sz w:val="16"/>
                <w:szCs w:val="16"/>
              </w:rPr>
            </w:pPr>
          </w:p>
          <w:p w:rsidR="006051D0" w:rsidRPr="00D423B2" w:rsidRDefault="006051D0" w:rsidP="006051D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Развитие солнечной энергетики в Татарстане сдерживается рядом факторов:</w:t>
            </w:r>
          </w:p>
          <w:p w:rsidR="006051D0" w:rsidRPr="00D423B2" w:rsidRDefault="006051D0" w:rsidP="006051D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солнечные электростанции генерируют электроэнергию днем, в то время как большая потребность в электричестве возникает как раз в вечерние часы. Это значит, что без аккумуляторов солнечные электростанции не будут эффективны;</w:t>
            </w:r>
          </w:p>
          <w:p w:rsidR="006051D0" w:rsidRPr="00D423B2" w:rsidRDefault="006051D0" w:rsidP="006051D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мировой опыт показал, что без государственной поддержки, наличия законодательно установленных экономических стимулов солнечная энергетика не получает развития;</w:t>
            </w:r>
          </w:p>
          <w:p w:rsidR="006051D0" w:rsidRPr="00D423B2" w:rsidRDefault="006051D0" w:rsidP="006051D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солнечные электростанции являются одной из наиболее дорогих используемых технологий производства электроэнергии.</w:t>
            </w:r>
          </w:p>
          <w:p w:rsidR="006051D0" w:rsidRPr="00D423B2" w:rsidRDefault="006051D0" w:rsidP="006051D0">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Среднегодовое количество часов солнечного сияния в Татарстане находится в диапазоне 2,8 - 3,3 кВт.ч на кв. метр, в то время как среднее количество часов солнечного сияния в Подмосковье составляет 2,3 (таблица 20).</w:t>
            </w:r>
          </w:p>
          <w:p w:rsidR="006051D0" w:rsidRPr="00D423B2" w:rsidRDefault="006051D0" w:rsidP="006051D0">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Таблица 20</w:t>
            </w:r>
          </w:p>
          <w:p w:rsidR="006051D0" w:rsidRPr="00D423B2" w:rsidRDefault="006051D0" w:rsidP="006051D0">
            <w:pPr>
              <w:widowControl w:val="0"/>
              <w:autoSpaceDE w:val="0"/>
              <w:autoSpaceDN w:val="0"/>
              <w:jc w:val="center"/>
              <w:rPr>
                <w:rFonts w:ascii="Times New Roman" w:eastAsia="Times New Roman" w:hAnsi="Times New Roman" w:cs="Times New Roman"/>
                <w:sz w:val="24"/>
                <w:szCs w:val="24"/>
                <w:lang w:eastAsia="ru-RU"/>
              </w:rPr>
            </w:pPr>
          </w:p>
          <w:p w:rsidR="006051D0" w:rsidRPr="00D423B2" w:rsidRDefault="006051D0" w:rsidP="006051D0">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Среднее количество часов солнечного сияния,</w:t>
            </w:r>
          </w:p>
          <w:p w:rsidR="006051D0" w:rsidRPr="00D423B2" w:rsidRDefault="006051D0" w:rsidP="006051D0">
            <w:pPr>
              <w:widowControl w:val="0"/>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кВт.ч на кв. метр</w:t>
            </w:r>
          </w:p>
          <w:p w:rsidR="006051D0" w:rsidRPr="00D423B2" w:rsidRDefault="006051D0" w:rsidP="00253B3A">
            <w:pPr>
              <w:pStyle w:val="ConsPlusNormal"/>
              <w:ind w:firstLine="540"/>
              <w:jc w:val="center"/>
              <w:rPr>
                <w:rFonts w:ascii="Times New Roman" w:hAnsi="Times New Roman" w:cs="Times New Roman"/>
                <w:sz w:val="24"/>
                <w:szCs w:val="24"/>
              </w:rPr>
            </w:pPr>
          </w:p>
          <w:tbl>
            <w:tblPr>
              <w:tblW w:w="5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5"/>
              <w:gridCol w:w="391"/>
              <w:gridCol w:w="370"/>
              <w:gridCol w:w="260"/>
              <w:gridCol w:w="325"/>
              <w:gridCol w:w="325"/>
              <w:gridCol w:w="370"/>
              <w:gridCol w:w="304"/>
              <w:gridCol w:w="370"/>
              <w:gridCol w:w="435"/>
              <w:gridCol w:w="412"/>
              <w:gridCol w:w="347"/>
              <w:gridCol w:w="391"/>
              <w:gridCol w:w="306"/>
            </w:tblGrid>
            <w:tr w:rsidR="00D423B2" w:rsidRPr="00D423B2" w:rsidTr="00BC1258">
              <w:trPr>
                <w:trHeight w:val="141"/>
              </w:trPr>
              <w:tc>
                <w:tcPr>
                  <w:tcW w:w="56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Город</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Январь</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Февраль</w:t>
                  </w:r>
                </w:p>
              </w:tc>
              <w:tc>
                <w:tcPr>
                  <w:tcW w:w="26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Март</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Апрель</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Май</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Июнь</w:t>
                  </w:r>
                </w:p>
              </w:tc>
              <w:tc>
                <w:tcPr>
                  <w:tcW w:w="304"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Июль</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Август</w:t>
                  </w:r>
                </w:p>
              </w:tc>
              <w:tc>
                <w:tcPr>
                  <w:tcW w:w="43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Сентябрь</w:t>
                  </w:r>
                </w:p>
              </w:tc>
              <w:tc>
                <w:tcPr>
                  <w:tcW w:w="412"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Октябрь</w:t>
                  </w:r>
                </w:p>
              </w:tc>
              <w:tc>
                <w:tcPr>
                  <w:tcW w:w="347"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Ноябрь</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Декабрь</w:t>
                  </w:r>
                </w:p>
              </w:tc>
              <w:tc>
                <w:tcPr>
                  <w:tcW w:w="306"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Год</w:t>
                  </w:r>
                </w:p>
              </w:tc>
            </w:tr>
            <w:tr w:rsidR="00D423B2" w:rsidRPr="00D423B2" w:rsidTr="00BC1258">
              <w:trPr>
                <w:trHeight w:val="267"/>
              </w:trPr>
              <w:tc>
                <w:tcPr>
                  <w:tcW w:w="565" w:type="dxa"/>
                </w:tcPr>
                <w:p w:rsidR="00216092" w:rsidRPr="00D423B2" w:rsidRDefault="00216092" w:rsidP="00216092">
                  <w:pPr>
                    <w:pStyle w:val="ConsPlusNormal"/>
                    <w:rPr>
                      <w:rFonts w:ascii="Times New Roman" w:hAnsi="Times New Roman" w:cs="Times New Roman"/>
                      <w:sz w:val="16"/>
                      <w:szCs w:val="16"/>
                    </w:rPr>
                  </w:pPr>
                  <w:r w:rsidRPr="00D423B2">
                    <w:rPr>
                      <w:rFonts w:ascii="Times New Roman" w:hAnsi="Times New Roman" w:cs="Times New Roman"/>
                      <w:sz w:val="16"/>
                      <w:szCs w:val="16"/>
                    </w:rPr>
                    <w:t>Санкт-Петербург</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0,35</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1,08</w:t>
                  </w:r>
                </w:p>
              </w:tc>
              <w:tc>
                <w:tcPr>
                  <w:tcW w:w="26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2,36</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3,98</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5,46</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5,78</w:t>
                  </w:r>
                </w:p>
              </w:tc>
              <w:tc>
                <w:tcPr>
                  <w:tcW w:w="304"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5,61</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4,31</w:t>
                  </w:r>
                </w:p>
              </w:tc>
              <w:tc>
                <w:tcPr>
                  <w:tcW w:w="43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2,60</w:t>
                  </w:r>
                </w:p>
              </w:tc>
              <w:tc>
                <w:tcPr>
                  <w:tcW w:w="412"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1,23</w:t>
                  </w:r>
                </w:p>
              </w:tc>
              <w:tc>
                <w:tcPr>
                  <w:tcW w:w="347"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0,50</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0,20</w:t>
                  </w:r>
                </w:p>
              </w:tc>
              <w:tc>
                <w:tcPr>
                  <w:tcW w:w="306"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2,80</w:t>
                  </w:r>
                </w:p>
              </w:tc>
            </w:tr>
            <w:tr w:rsidR="00D423B2" w:rsidRPr="00D423B2" w:rsidTr="00BC1258">
              <w:trPr>
                <w:trHeight w:val="141"/>
              </w:trPr>
              <w:tc>
                <w:tcPr>
                  <w:tcW w:w="565" w:type="dxa"/>
                </w:tcPr>
                <w:p w:rsidR="00216092" w:rsidRPr="00D423B2" w:rsidRDefault="00216092" w:rsidP="00216092">
                  <w:pPr>
                    <w:pStyle w:val="ConsPlusNormal"/>
                    <w:rPr>
                      <w:rFonts w:ascii="Times New Roman" w:hAnsi="Times New Roman" w:cs="Times New Roman"/>
                      <w:sz w:val="16"/>
                      <w:szCs w:val="16"/>
                    </w:rPr>
                  </w:pPr>
                  <w:r w:rsidRPr="00D423B2">
                    <w:rPr>
                      <w:rFonts w:ascii="Times New Roman" w:hAnsi="Times New Roman" w:cs="Times New Roman"/>
                      <w:sz w:val="16"/>
                      <w:szCs w:val="16"/>
                    </w:rPr>
                    <w:t>Москва</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0,50</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0,94</w:t>
                  </w:r>
                </w:p>
              </w:tc>
              <w:tc>
                <w:tcPr>
                  <w:tcW w:w="26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2,63</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3,07</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4,69</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5,44</w:t>
                  </w:r>
                </w:p>
              </w:tc>
              <w:tc>
                <w:tcPr>
                  <w:tcW w:w="304"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5,51</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4,26</w:t>
                  </w:r>
                </w:p>
              </w:tc>
              <w:tc>
                <w:tcPr>
                  <w:tcW w:w="43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2,34</w:t>
                  </w:r>
                </w:p>
              </w:tc>
              <w:tc>
                <w:tcPr>
                  <w:tcW w:w="412"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1,08</w:t>
                  </w:r>
                </w:p>
              </w:tc>
              <w:tc>
                <w:tcPr>
                  <w:tcW w:w="347"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0,56</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0,36</w:t>
                  </w:r>
                </w:p>
              </w:tc>
              <w:tc>
                <w:tcPr>
                  <w:tcW w:w="306"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2,63</w:t>
                  </w:r>
                </w:p>
              </w:tc>
            </w:tr>
            <w:tr w:rsidR="00D423B2" w:rsidRPr="00D423B2" w:rsidTr="00BC1258">
              <w:trPr>
                <w:trHeight w:val="149"/>
              </w:trPr>
              <w:tc>
                <w:tcPr>
                  <w:tcW w:w="565" w:type="dxa"/>
                </w:tcPr>
                <w:p w:rsidR="00216092" w:rsidRPr="00D423B2" w:rsidRDefault="00216092" w:rsidP="00216092">
                  <w:pPr>
                    <w:pStyle w:val="ConsPlusNormal"/>
                    <w:rPr>
                      <w:rFonts w:ascii="Times New Roman" w:hAnsi="Times New Roman" w:cs="Times New Roman"/>
                      <w:sz w:val="16"/>
                      <w:szCs w:val="16"/>
                    </w:rPr>
                  </w:pPr>
                  <w:r w:rsidRPr="00D423B2">
                    <w:rPr>
                      <w:rFonts w:ascii="Times New Roman" w:hAnsi="Times New Roman" w:cs="Times New Roman"/>
                      <w:sz w:val="16"/>
                      <w:szCs w:val="16"/>
                    </w:rPr>
                    <w:t>Казань</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0,68</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1,44</w:t>
                  </w:r>
                </w:p>
              </w:tc>
              <w:tc>
                <w:tcPr>
                  <w:tcW w:w="26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2,82</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4,29</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5,52</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5,93</w:t>
                  </w:r>
                </w:p>
              </w:tc>
              <w:tc>
                <w:tcPr>
                  <w:tcW w:w="304"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5,72</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4,49</w:t>
                  </w:r>
                </w:p>
              </w:tc>
              <w:tc>
                <w:tcPr>
                  <w:tcW w:w="43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2,86</w:t>
                  </w:r>
                </w:p>
              </w:tc>
              <w:tc>
                <w:tcPr>
                  <w:tcW w:w="412"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1,51</w:t>
                  </w:r>
                </w:p>
              </w:tc>
              <w:tc>
                <w:tcPr>
                  <w:tcW w:w="347"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0,83</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0,54</w:t>
                  </w:r>
                </w:p>
              </w:tc>
              <w:tc>
                <w:tcPr>
                  <w:tcW w:w="306"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3,06</w:t>
                  </w:r>
                </w:p>
              </w:tc>
            </w:tr>
            <w:tr w:rsidR="00D423B2" w:rsidRPr="00D423B2" w:rsidTr="00BC1258">
              <w:trPr>
                <w:trHeight w:val="267"/>
              </w:trPr>
              <w:tc>
                <w:tcPr>
                  <w:tcW w:w="565" w:type="dxa"/>
                </w:tcPr>
                <w:p w:rsidR="00216092" w:rsidRPr="00D423B2" w:rsidRDefault="00216092" w:rsidP="00216092">
                  <w:pPr>
                    <w:pStyle w:val="ConsPlusNormal"/>
                    <w:rPr>
                      <w:rFonts w:ascii="Times New Roman" w:hAnsi="Times New Roman" w:cs="Times New Roman"/>
                      <w:sz w:val="16"/>
                      <w:szCs w:val="16"/>
                    </w:rPr>
                  </w:pPr>
                  <w:r w:rsidRPr="00D423B2">
                    <w:rPr>
                      <w:rFonts w:ascii="Times New Roman" w:hAnsi="Times New Roman" w:cs="Times New Roman"/>
                      <w:sz w:val="16"/>
                      <w:szCs w:val="16"/>
                    </w:rPr>
                    <w:t>Нижний Новгород</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0,64</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1,45</w:t>
                  </w:r>
                </w:p>
              </w:tc>
              <w:tc>
                <w:tcPr>
                  <w:tcW w:w="26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2,75</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3,95</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5,34</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5,60</w:t>
                  </w:r>
                </w:p>
              </w:tc>
              <w:tc>
                <w:tcPr>
                  <w:tcW w:w="304"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5,50</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4,27</w:t>
                  </w:r>
                </w:p>
              </w:tc>
              <w:tc>
                <w:tcPr>
                  <w:tcW w:w="43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2,69</w:t>
                  </w:r>
                </w:p>
              </w:tc>
              <w:tc>
                <w:tcPr>
                  <w:tcW w:w="412"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1,45</w:t>
                  </w:r>
                </w:p>
              </w:tc>
              <w:tc>
                <w:tcPr>
                  <w:tcW w:w="347"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0,75</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0,45</w:t>
                  </w:r>
                </w:p>
              </w:tc>
              <w:tc>
                <w:tcPr>
                  <w:tcW w:w="306"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2,91</w:t>
                  </w:r>
                </w:p>
              </w:tc>
            </w:tr>
            <w:tr w:rsidR="00D423B2" w:rsidRPr="00D423B2" w:rsidTr="00BC1258">
              <w:trPr>
                <w:trHeight w:val="141"/>
              </w:trPr>
              <w:tc>
                <w:tcPr>
                  <w:tcW w:w="565" w:type="dxa"/>
                </w:tcPr>
                <w:p w:rsidR="00216092" w:rsidRPr="00D423B2" w:rsidRDefault="00216092" w:rsidP="00216092">
                  <w:pPr>
                    <w:pStyle w:val="ConsPlusNormal"/>
                    <w:rPr>
                      <w:rFonts w:ascii="Times New Roman" w:hAnsi="Times New Roman" w:cs="Times New Roman"/>
                      <w:sz w:val="16"/>
                      <w:szCs w:val="16"/>
                    </w:rPr>
                  </w:pPr>
                  <w:r w:rsidRPr="00D423B2">
                    <w:rPr>
                      <w:rFonts w:ascii="Times New Roman" w:hAnsi="Times New Roman" w:cs="Times New Roman"/>
                      <w:sz w:val="16"/>
                      <w:szCs w:val="16"/>
                    </w:rPr>
                    <w:t>Екатеринбург</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0,64</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1,05</w:t>
                  </w:r>
                </w:p>
              </w:tc>
              <w:tc>
                <w:tcPr>
                  <w:tcW w:w="26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2,94</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4,11</w:t>
                  </w:r>
                </w:p>
              </w:tc>
              <w:tc>
                <w:tcPr>
                  <w:tcW w:w="32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5,11</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5,72</w:t>
                  </w:r>
                </w:p>
              </w:tc>
              <w:tc>
                <w:tcPr>
                  <w:tcW w:w="304"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5,22</w:t>
                  </w:r>
                </w:p>
              </w:tc>
              <w:tc>
                <w:tcPr>
                  <w:tcW w:w="370"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4,06</w:t>
                  </w:r>
                </w:p>
              </w:tc>
              <w:tc>
                <w:tcPr>
                  <w:tcW w:w="435"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2,56</w:t>
                  </w:r>
                </w:p>
              </w:tc>
              <w:tc>
                <w:tcPr>
                  <w:tcW w:w="412"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1,36</w:t>
                  </w:r>
                </w:p>
              </w:tc>
              <w:tc>
                <w:tcPr>
                  <w:tcW w:w="347"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0,72</w:t>
                  </w:r>
                </w:p>
              </w:tc>
              <w:tc>
                <w:tcPr>
                  <w:tcW w:w="391"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0,44</w:t>
                  </w:r>
                </w:p>
              </w:tc>
              <w:tc>
                <w:tcPr>
                  <w:tcW w:w="306" w:type="dxa"/>
                </w:tcPr>
                <w:p w:rsidR="00216092" w:rsidRPr="00D423B2" w:rsidRDefault="00216092" w:rsidP="00216092">
                  <w:pPr>
                    <w:pStyle w:val="ConsPlusNormal"/>
                    <w:jc w:val="center"/>
                    <w:rPr>
                      <w:rFonts w:ascii="Times New Roman" w:hAnsi="Times New Roman" w:cs="Times New Roman"/>
                      <w:sz w:val="16"/>
                      <w:szCs w:val="16"/>
                    </w:rPr>
                  </w:pPr>
                  <w:r w:rsidRPr="00D423B2">
                    <w:rPr>
                      <w:rFonts w:ascii="Times New Roman" w:hAnsi="Times New Roman" w:cs="Times New Roman"/>
                      <w:sz w:val="16"/>
                      <w:szCs w:val="16"/>
                    </w:rPr>
                    <w:t>2,87</w:t>
                  </w:r>
                </w:p>
              </w:tc>
            </w:tr>
          </w:tbl>
          <w:p w:rsidR="003C0EC9" w:rsidRPr="00D423B2" w:rsidRDefault="003C0EC9" w:rsidP="003430C7">
            <w:pPr>
              <w:pStyle w:val="ConsPlusNormal"/>
              <w:ind w:firstLine="540"/>
              <w:jc w:val="both"/>
              <w:rPr>
                <w:rFonts w:ascii="Times New Roman" w:hAnsi="Times New Roman" w:cs="Times New Roman"/>
                <w:sz w:val="24"/>
                <w:szCs w:val="24"/>
              </w:rPr>
            </w:pPr>
          </w:p>
          <w:p w:rsidR="00686F48" w:rsidRPr="00D423B2" w:rsidRDefault="00686F48" w:rsidP="00686F4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По мере снижения стоимости выработанной электроэнергии солнечная энергетика станет вполне конкурентоспособной и получит свое дальнейшее развитие в Республике Татарстан. Одним из возможных способов улучшения технико-экономических показателей гелиоустановок является их совместное использование с ветроустановками.</w:t>
            </w:r>
          </w:p>
          <w:p w:rsidR="00686F48" w:rsidRPr="00D423B2" w:rsidRDefault="00686F48" w:rsidP="00686F48">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В 2013 году в России начали предприниматься первые реальные шаги, направленные на расширение производства электроэнергии на основе возобновляемых источников энергии. Начата реализация проектов на оптовом рынке электроэнергии и мощности за счет мер государственного стимулирования - механизма договоров на поставку мощности для энергоисточников на ВИЭ. Развитие проектов ВИЭ на розничных рынках электроэнергии пока не носит системного характера. Однако вслед за разработкой мер, направленных на стимулирование развития ВИЭ и всей необходимой нормативной правовой базы на федеральном уровне, в Республике Татарстан будут реализовываться перспективные инновационные проекты по внедрению альтернативных источников энергии, для этого есть все необходимые предпосылки.</w:t>
            </w:r>
          </w:p>
          <w:p w:rsidR="00967D64" w:rsidRPr="00D423B2" w:rsidRDefault="00967D64" w:rsidP="00E22998">
            <w:pPr>
              <w:pStyle w:val="ConsPlusNormal"/>
              <w:ind w:firstLine="540"/>
              <w:jc w:val="both"/>
              <w:rPr>
                <w:rFonts w:ascii="Times New Roman" w:hAnsi="Times New Roman" w:cs="Times New Roman"/>
                <w:sz w:val="24"/>
                <w:szCs w:val="24"/>
              </w:rPr>
            </w:pPr>
          </w:p>
          <w:p w:rsidR="00DF232E" w:rsidRPr="00D423B2" w:rsidRDefault="00DF232E" w:rsidP="00DF232E">
            <w:pPr>
              <w:pStyle w:val="ConsPlusNormal"/>
              <w:ind w:firstLine="540"/>
              <w:jc w:val="center"/>
              <w:rPr>
                <w:rFonts w:ascii="Times New Roman" w:hAnsi="Times New Roman" w:cs="Times New Roman"/>
                <w:b/>
                <w:sz w:val="24"/>
                <w:szCs w:val="24"/>
              </w:rPr>
            </w:pPr>
            <w:r w:rsidRPr="00D423B2">
              <w:rPr>
                <w:rFonts w:ascii="Times New Roman" w:hAnsi="Times New Roman" w:cs="Times New Roman"/>
                <w:b/>
                <w:sz w:val="24"/>
                <w:szCs w:val="24"/>
              </w:rPr>
              <w:t>V. Ожидаемые результаты и способ реализации Стратегии</w:t>
            </w:r>
          </w:p>
          <w:p w:rsidR="00DF232E" w:rsidRPr="00D423B2" w:rsidRDefault="00DF232E" w:rsidP="00DF232E">
            <w:pPr>
              <w:pStyle w:val="ConsPlusNormal"/>
              <w:ind w:firstLine="540"/>
              <w:jc w:val="center"/>
              <w:rPr>
                <w:rFonts w:ascii="Times New Roman" w:hAnsi="Times New Roman" w:cs="Times New Roman"/>
                <w:sz w:val="24"/>
                <w:szCs w:val="24"/>
              </w:rPr>
            </w:pPr>
          </w:p>
          <w:p w:rsidR="00DF232E" w:rsidRPr="00D423B2" w:rsidRDefault="00DF232E" w:rsidP="00DF232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При разработке целевых индикаторов развития отраслей топливно-энергетического комплекса Республики Татарстан учитывались стратегические приоритеты, определенные как на уровне Российской Федерации, так и Республики Татарстан:</w:t>
            </w:r>
          </w:p>
          <w:p w:rsidR="00DF232E" w:rsidRPr="00D423B2" w:rsidRDefault="00DF232E" w:rsidP="00DF232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топливно-энергетическим комплексом Республики Татарстан потребностей экономики и населения республики в энергоресурсах и углеводородном сырье;</w:t>
            </w:r>
          </w:p>
          <w:p w:rsidR="00DF232E" w:rsidRPr="00D423B2" w:rsidRDefault="00DF232E" w:rsidP="00DF232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глубокая переработка углеводородного сырья, внедрение современных технологий добычи и транспортировки;</w:t>
            </w:r>
          </w:p>
          <w:p w:rsidR="00DF232E" w:rsidRPr="00D423B2" w:rsidRDefault="00DF232E" w:rsidP="00DF232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обеспечение кластерного развития промышленности на базе крупнейших предприятий топливно-энергетического комплекса;</w:t>
            </w:r>
          </w:p>
          <w:p w:rsidR="00DF232E" w:rsidRPr="00D423B2" w:rsidRDefault="00DF232E" w:rsidP="00DF232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сохранение позиции Республики Татарстан в качестве одного из основных нефтедобывающих регионов Российской Федерации в долгосрочной перспективе.</w:t>
            </w:r>
          </w:p>
          <w:p w:rsidR="00DF232E" w:rsidRPr="00D423B2" w:rsidRDefault="00DF232E" w:rsidP="00DF232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Целевые индикаторы развития топливно-энергетического комплекса Республики Татарстан в отраслевом аспекте более полно представлены в соответствующих разделах настоящей Стратегии.</w:t>
            </w:r>
          </w:p>
          <w:p w:rsidR="00DF232E" w:rsidRPr="00D423B2" w:rsidRDefault="00DF232E" w:rsidP="00DF232E">
            <w:pPr>
              <w:pStyle w:val="ConsPlusNormal"/>
              <w:ind w:firstLine="540"/>
              <w:jc w:val="center"/>
              <w:rPr>
                <w:rFonts w:ascii="Times New Roman" w:hAnsi="Times New Roman" w:cs="Times New Roman"/>
                <w:sz w:val="24"/>
                <w:szCs w:val="24"/>
              </w:rPr>
            </w:pPr>
          </w:p>
          <w:p w:rsidR="00DF232E" w:rsidRPr="00D423B2" w:rsidRDefault="00DF232E" w:rsidP="00DF232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Основные ожидаемые результаты реализации настоящей Стратегии представлены ниже.</w:t>
            </w:r>
          </w:p>
          <w:p w:rsidR="00DF232E" w:rsidRPr="00D423B2" w:rsidRDefault="00DF232E" w:rsidP="00DF232E">
            <w:pPr>
              <w:pStyle w:val="ConsPlusNormal"/>
              <w:jc w:val="both"/>
              <w:rPr>
                <w:rFonts w:ascii="Times New Roman" w:hAnsi="Times New Roman" w:cs="Times New Roman"/>
                <w:sz w:val="24"/>
                <w:szCs w:val="24"/>
              </w:rPr>
            </w:pPr>
          </w:p>
          <w:p w:rsidR="00DF232E" w:rsidRPr="00D423B2" w:rsidRDefault="00DF232E" w:rsidP="00DF232E">
            <w:pPr>
              <w:pStyle w:val="ConsPlusNormal"/>
              <w:ind w:firstLine="540"/>
              <w:jc w:val="both"/>
              <w:rPr>
                <w:rFonts w:ascii="Times New Roman" w:hAnsi="Times New Roman" w:cs="Times New Roman"/>
                <w:sz w:val="12"/>
                <w:szCs w:val="12"/>
              </w:rPr>
            </w:pPr>
          </w:p>
          <w:p w:rsidR="00DF232E" w:rsidRPr="00D423B2" w:rsidRDefault="00DF232E" w:rsidP="00DF232E">
            <w:pPr>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│Основные        │         1. Нефтедобыча в Республике Татарстан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│ожидаемые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│результаты      ││   Наименование показателя  │2020 г.│2025 г.│2030 г.││</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│реализации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│Стратегии       ││Добыча нефти с СВН, тыс.    │33 500 │33 500 │33 057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││тонн в год                  │       │       │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││Эксплуатационное бурение,   │  887  │  703  │  701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││тыс. метров в год           │       │       │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││Поисково-разведочное        │  55   │  55   │  55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││бурение, тыс. метров в год  │       │       │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                  2. Нефтепереработка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│доведение  глубины  переработки  нефти  по  Республике│</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│Татарстан до 95 процентов к 2020 году;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│увеличение объема перерабатываемой нефти в  Республике│</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│Татарстан до 21,4 млн тонн к 2020 году.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                 3. Электроэнергетика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│Рост производства электрической энергии к 2030 году по│</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│сравнению с 2014 годом на 61,6 процента: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│в 2020 году - 30 500 млн кВт.ч,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│в 2025 году - 32 529 млн кВт.ч,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│в 2030 году - 34 744 млн кВт.ч.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           4. Производство тепловой энергии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│Рост производства тепловой  энергии  к  2030  году  по│</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│сравнению с 2014 годом на 2,8 процента: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│в 2020 году - 48,08 млн Гкал,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│в 2025 году - 48,192 млн Гкал,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│в 2030 году - 48,304 млн Гкал.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                5. Энергоэффективность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│Снижение энергоемкости ВРП   по  сравнению  с  уровнем│</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│2007 года: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│к 2020 году - на 40 процентов,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                │к 2030 году - на 58 процентов                         │</w:t>
            </w:r>
          </w:p>
          <w:p w:rsidR="00DF232E" w:rsidRPr="00D423B2" w:rsidRDefault="00DF232E" w:rsidP="00DF232E">
            <w:pPr>
              <w:widowControl w:val="0"/>
              <w:autoSpaceDE w:val="0"/>
              <w:autoSpaceDN w:val="0"/>
              <w:jc w:val="both"/>
              <w:rPr>
                <w:rFonts w:ascii="Courier New" w:eastAsia="Times New Roman" w:hAnsi="Courier New" w:cs="Courier New"/>
                <w:sz w:val="12"/>
                <w:szCs w:val="12"/>
                <w:lang w:eastAsia="ru-RU"/>
              </w:rPr>
            </w:pPr>
            <w:r w:rsidRPr="00D423B2">
              <w:rPr>
                <w:rFonts w:ascii="Courier New" w:eastAsia="Times New Roman" w:hAnsi="Courier New" w:cs="Courier New"/>
                <w:sz w:val="12"/>
                <w:szCs w:val="12"/>
                <w:lang w:eastAsia="ru-RU"/>
              </w:rPr>
              <w:t>└────────────────┴──────────────────────────────────────────────────────┘</w:t>
            </w:r>
          </w:p>
          <w:p w:rsidR="00DF232E" w:rsidRPr="00D423B2" w:rsidRDefault="00DF232E" w:rsidP="00DF232E">
            <w:pPr>
              <w:widowControl w:val="0"/>
              <w:autoSpaceDE w:val="0"/>
              <w:autoSpaceDN w:val="0"/>
              <w:jc w:val="both"/>
              <w:rPr>
                <w:rFonts w:ascii="Calibri" w:eastAsia="Times New Roman" w:hAnsi="Calibri" w:cs="Calibri"/>
                <w:sz w:val="12"/>
                <w:szCs w:val="12"/>
                <w:lang w:eastAsia="ru-RU"/>
              </w:rPr>
            </w:pPr>
          </w:p>
          <w:p w:rsidR="00DF232E" w:rsidRPr="00D423B2" w:rsidRDefault="00DF232E" w:rsidP="00DF232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Настоящая Стратегия является основой для разработки и утверждения в 2015 - 2016 годах предприятиями топливно-энергетического комплекса Республики Татарстан корпоративных стратегий развития до 2030 года.</w:t>
            </w:r>
          </w:p>
          <w:p w:rsidR="00DF232E" w:rsidRPr="00D423B2" w:rsidRDefault="00DF232E" w:rsidP="00DF232E">
            <w:pPr>
              <w:pStyle w:val="ConsPlusNormal"/>
              <w:ind w:firstLine="540"/>
              <w:jc w:val="both"/>
              <w:rPr>
                <w:rFonts w:ascii="Times New Roman" w:hAnsi="Times New Roman" w:cs="Times New Roman"/>
                <w:sz w:val="24"/>
                <w:szCs w:val="24"/>
              </w:rPr>
            </w:pPr>
            <w:r w:rsidRPr="00D423B2">
              <w:rPr>
                <w:rFonts w:ascii="Times New Roman" w:hAnsi="Times New Roman" w:cs="Times New Roman"/>
                <w:sz w:val="24"/>
                <w:szCs w:val="24"/>
              </w:rPr>
              <w:t>________________________________</w:t>
            </w:r>
          </w:p>
          <w:p w:rsidR="00DF232E" w:rsidRPr="00D423B2" w:rsidRDefault="00DF232E" w:rsidP="00DF232E">
            <w:pPr>
              <w:pStyle w:val="ConsPlusNormal"/>
              <w:ind w:firstLine="540"/>
              <w:jc w:val="both"/>
              <w:rPr>
                <w:rFonts w:ascii="Times New Roman" w:hAnsi="Times New Roman" w:cs="Times New Roman"/>
                <w:sz w:val="24"/>
                <w:szCs w:val="24"/>
              </w:rPr>
            </w:pPr>
          </w:p>
          <w:p w:rsidR="00E22998" w:rsidRPr="00D423B2" w:rsidRDefault="00E22998" w:rsidP="00E22998">
            <w:pPr>
              <w:jc w:val="both"/>
              <w:rPr>
                <w:rFonts w:ascii="Times New Roman" w:hAnsi="Times New Roman" w:cs="Times New Roman"/>
                <w:sz w:val="24"/>
                <w:szCs w:val="24"/>
              </w:rPr>
            </w:pPr>
          </w:p>
        </w:tc>
        <w:tc>
          <w:tcPr>
            <w:tcW w:w="5244" w:type="dxa"/>
          </w:tcPr>
          <w:p w:rsidR="00542DA3" w:rsidRPr="00D423B2" w:rsidRDefault="00542DA3">
            <w:pPr>
              <w:rPr>
                <w:rFonts w:ascii="Times New Roman" w:hAnsi="Times New Roman" w:cs="Times New Roman"/>
                <w:sz w:val="24"/>
                <w:szCs w:val="24"/>
              </w:rPr>
            </w:pPr>
          </w:p>
          <w:p w:rsidR="00396782" w:rsidRPr="00D423B2" w:rsidRDefault="00542DA3">
            <w:pPr>
              <w:rPr>
                <w:rFonts w:ascii="Times New Roman" w:hAnsi="Times New Roman" w:cs="Times New Roman"/>
                <w:sz w:val="24"/>
                <w:szCs w:val="24"/>
              </w:rPr>
            </w:pPr>
            <w:r w:rsidRPr="00D423B2">
              <w:rPr>
                <w:rFonts w:ascii="Times New Roman" w:hAnsi="Times New Roman" w:cs="Times New Roman"/>
                <w:sz w:val="24"/>
                <w:szCs w:val="24"/>
              </w:rPr>
              <w:t>Приложение 1 изложить в следующей редакции:</w:t>
            </w:r>
          </w:p>
          <w:p w:rsidR="00E64459" w:rsidRPr="00D423B2" w:rsidRDefault="00E64459" w:rsidP="00E64459">
            <w:pPr>
              <w:pStyle w:val="ConsPlusNormal"/>
              <w:ind w:firstLine="540"/>
              <w:jc w:val="right"/>
              <w:rPr>
                <w:rFonts w:ascii="Times New Roman" w:hAnsi="Times New Roman" w:cs="Times New Roman"/>
                <w:sz w:val="24"/>
                <w:szCs w:val="24"/>
              </w:rPr>
            </w:pPr>
          </w:p>
          <w:p w:rsidR="00C71355" w:rsidRPr="00D423B2" w:rsidRDefault="00C71355" w:rsidP="00C71355">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«Приложение</w:t>
            </w:r>
          </w:p>
          <w:p w:rsidR="00C71355" w:rsidRPr="00D423B2" w:rsidRDefault="00C71355" w:rsidP="00C71355">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к Закону Республики Татарстан</w:t>
            </w:r>
          </w:p>
          <w:p w:rsidR="00C71355" w:rsidRPr="00D423B2" w:rsidRDefault="00C71355" w:rsidP="00C71355">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«Об утверждении Стратегии развития</w:t>
            </w:r>
          </w:p>
          <w:p w:rsidR="00C71355" w:rsidRPr="00D423B2" w:rsidRDefault="00C71355" w:rsidP="00C71355">
            <w:pPr>
              <w:pStyle w:val="ConsPlusNormal"/>
              <w:ind w:firstLine="540"/>
              <w:jc w:val="right"/>
              <w:rPr>
                <w:rFonts w:ascii="Times New Roman" w:hAnsi="Times New Roman" w:cs="Times New Roman"/>
                <w:sz w:val="24"/>
                <w:szCs w:val="24"/>
              </w:rPr>
            </w:pPr>
            <w:r w:rsidRPr="00D423B2">
              <w:rPr>
                <w:rFonts w:ascii="Times New Roman" w:hAnsi="Times New Roman" w:cs="Times New Roman"/>
                <w:sz w:val="24"/>
                <w:szCs w:val="24"/>
              </w:rPr>
              <w:t>топливно-энергетического комплекса</w:t>
            </w:r>
          </w:p>
          <w:p w:rsidR="00E64459" w:rsidRPr="00D423B2" w:rsidRDefault="00C71355" w:rsidP="00C71355">
            <w:pPr>
              <w:jc w:val="right"/>
              <w:rPr>
                <w:rFonts w:ascii="Times New Roman" w:hAnsi="Times New Roman" w:cs="Times New Roman"/>
                <w:sz w:val="24"/>
                <w:szCs w:val="24"/>
              </w:rPr>
            </w:pPr>
            <w:r w:rsidRPr="00D423B2">
              <w:rPr>
                <w:rFonts w:ascii="Times New Roman" w:hAnsi="Times New Roman" w:cs="Times New Roman"/>
                <w:sz w:val="24"/>
                <w:szCs w:val="24"/>
              </w:rPr>
              <w:t>Республики Татарстан на период до 2030 года»</w:t>
            </w:r>
          </w:p>
          <w:p w:rsidR="000215E2" w:rsidRPr="00D423B2" w:rsidRDefault="000215E2" w:rsidP="00C71355">
            <w:pPr>
              <w:jc w:val="right"/>
              <w:rPr>
                <w:rFonts w:ascii="Times New Roman" w:hAnsi="Times New Roman" w:cs="Times New Roman"/>
                <w:sz w:val="24"/>
                <w:szCs w:val="24"/>
              </w:rPr>
            </w:pPr>
          </w:p>
          <w:p w:rsidR="000215E2" w:rsidRPr="00D423B2" w:rsidRDefault="000215E2" w:rsidP="000215E2">
            <w:pPr>
              <w:widowControl w:val="0"/>
              <w:autoSpaceDE w:val="0"/>
              <w:autoSpaceDN w:val="0"/>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Стратегия</w:t>
            </w:r>
          </w:p>
          <w:p w:rsidR="000215E2" w:rsidRPr="00D423B2" w:rsidRDefault="000215E2" w:rsidP="000215E2">
            <w:pPr>
              <w:widowControl w:val="0"/>
              <w:autoSpaceDE w:val="0"/>
              <w:autoSpaceDN w:val="0"/>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развития топливно-энергетического комплекса</w:t>
            </w:r>
          </w:p>
          <w:p w:rsidR="000215E2" w:rsidRPr="00D423B2" w:rsidRDefault="000215E2" w:rsidP="000215E2">
            <w:pPr>
              <w:widowControl w:val="0"/>
              <w:autoSpaceDE w:val="0"/>
              <w:autoSpaceDN w:val="0"/>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Республики Татарстан на период до 2030 года</w:t>
            </w:r>
          </w:p>
          <w:p w:rsidR="000215E2" w:rsidRPr="00D423B2" w:rsidRDefault="000215E2" w:rsidP="000215E2">
            <w:pPr>
              <w:autoSpaceDE w:val="0"/>
              <w:autoSpaceDN w:val="0"/>
              <w:adjustRightInd w:val="0"/>
              <w:jc w:val="both"/>
              <w:rPr>
                <w:rFonts w:ascii="Times New Roman" w:eastAsia="Times New Roman" w:hAnsi="Times New Roman" w:cs="Times New Roman"/>
                <w:sz w:val="24"/>
                <w:szCs w:val="24"/>
                <w:lang w:eastAsia="ru-RU"/>
              </w:rPr>
            </w:pPr>
          </w:p>
          <w:p w:rsidR="000215E2" w:rsidRPr="00D423B2" w:rsidRDefault="004B338D" w:rsidP="000215E2">
            <w:pPr>
              <w:autoSpaceDE w:val="0"/>
              <w:autoSpaceDN w:val="0"/>
              <w:adjustRightInd w:val="0"/>
              <w:jc w:val="center"/>
              <w:outlineLvl w:val="1"/>
              <w:rPr>
                <w:rFonts w:ascii="Times New Roman" w:eastAsia="Times New Roman" w:hAnsi="Times New Roman" w:cs="Times New Roman"/>
                <w:b/>
                <w:sz w:val="24"/>
                <w:szCs w:val="24"/>
                <w:lang w:eastAsia="ru-RU"/>
              </w:rPr>
            </w:pPr>
            <w:r w:rsidRPr="00B675F4">
              <w:rPr>
                <w:rFonts w:ascii="Times New Roman" w:eastAsia="Times New Roman" w:hAnsi="Times New Roman" w:cs="Times New Roman"/>
                <w:b/>
                <w:sz w:val="24"/>
                <w:szCs w:val="24"/>
                <w:lang w:eastAsia="ru-RU"/>
              </w:rPr>
              <w:t>1</w:t>
            </w:r>
            <w:r w:rsidR="000215E2" w:rsidRPr="00B675F4">
              <w:rPr>
                <w:rFonts w:ascii="Times New Roman" w:eastAsia="Times New Roman" w:hAnsi="Times New Roman" w:cs="Times New Roman"/>
                <w:b/>
                <w:sz w:val="24"/>
                <w:szCs w:val="24"/>
                <w:lang w:eastAsia="ru-RU"/>
              </w:rPr>
              <w:t>. Общие положения</w:t>
            </w:r>
          </w:p>
          <w:p w:rsidR="000215E2" w:rsidRPr="00D423B2" w:rsidRDefault="000215E2" w:rsidP="000215E2">
            <w:pPr>
              <w:autoSpaceDE w:val="0"/>
              <w:autoSpaceDN w:val="0"/>
              <w:adjustRightInd w:val="0"/>
              <w:jc w:val="both"/>
              <w:rPr>
                <w:rFonts w:ascii="Times New Roman" w:eastAsia="Times New Roman" w:hAnsi="Times New Roman" w:cs="Times New Roman"/>
                <w:sz w:val="24"/>
                <w:szCs w:val="24"/>
                <w:lang w:eastAsia="ru-RU"/>
              </w:rPr>
            </w:pP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 xml:space="preserve">Настоящая Стратегия развития топливно-энергетического комплекса Республики Татарстан на период до 2030 года (далее – Стратегия) определяет цели и задачи долгосрочного развития топливно-энергетического комплекса Республики Татарстан на период до 2030 года как основы обеспечения роста валового регионального продукта и благосостояния населения при </w:t>
            </w:r>
            <w:r w:rsidRPr="00EA19CD">
              <w:rPr>
                <w:rFonts w:ascii="Times New Roman" w:eastAsia="Times New Roman" w:hAnsi="Times New Roman" w:cs="Times New Roman"/>
                <w:sz w:val="24"/>
                <w:szCs w:val="24"/>
                <w:lang w:eastAsia="ru-RU"/>
              </w:rPr>
              <w:lastRenderedPageBreak/>
              <w:t>максимально эффективном использовании топливно-энергетических ресурсов.</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При разработке Стратегии учитывались нижеизложенные факторы.</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Существенная трансформация на мировых рынках, связанная с появлением на рынке сланцевого газа, сланцевой нефти и переориентацией ряда крупных стран-импортеров энергоресурсов на энергетическое самообеспечение, реализация декларации о сотрудничестве между членами Организации стран – экспортеров нефти (далее – ОПЕК), высокая волатильность нефтяных цен, санкции США и Европейского союза в отношении Российской Федерации, замедление темпов экономического роста в Российской Федерации, ухудшение минерально-сырьевой базы топливно-энергетического комплекса привели к радикальным изменениям во всей мировой нефтегазовой промышленности и необходимости актуализации отраслевых программных документов и разработки новых законодательных инициатив.</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 xml:space="preserve">В частности, Правительством Российской Федерации разработан проект Энергетической стратегии России на период до 2035 года. </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Приняты федеральные законы, направленные на переход к новой системе налогообложения путем введения налога на дополнительный доход от добычи углеводородного сырья (далее – НДД), а также на завершение «налогового маневра» в нефтяной отрасли.</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Распоряжением Правительства Российской Федерации от 28 февраля</w:t>
            </w:r>
            <w:r w:rsidRPr="00EA19CD">
              <w:rPr>
                <w:rFonts w:ascii="Times New Roman" w:eastAsia="Times New Roman" w:hAnsi="Times New Roman" w:cs="Times New Roman"/>
                <w:sz w:val="24"/>
                <w:szCs w:val="24"/>
                <w:lang w:eastAsia="ru-RU"/>
              </w:rPr>
              <w:br/>
            </w:r>
            <w:r w:rsidRPr="00EA19CD">
              <w:rPr>
                <w:rFonts w:ascii="Times New Roman" w:eastAsia="Times New Roman" w:hAnsi="Times New Roman" w:cs="Times New Roman"/>
                <w:sz w:val="24"/>
                <w:szCs w:val="24"/>
                <w:lang w:eastAsia="ru-RU"/>
              </w:rPr>
              <w:lastRenderedPageBreak/>
              <w:t>2019 года № 348-р утвержден План мероприятий («дорожная карта») по развитию нефтегазохимического комплекса в Российской Федерации на период до 2025 года.</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 xml:space="preserve">Распоряжением Правительства Российской Федерации от 22 декабря 2018 года </w:t>
            </w:r>
            <w:r w:rsidRPr="00EA19CD">
              <w:rPr>
                <w:rFonts w:ascii="Times New Roman" w:eastAsia="Times New Roman" w:hAnsi="Times New Roman" w:cs="Times New Roman"/>
                <w:sz w:val="24"/>
                <w:szCs w:val="24"/>
                <w:lang w:eastAsia="ru-RU"/>
              </w:rPr>
              <w:br/>
              <w:t>№ 2914-р утверждена Стратегия развития минерально-сырьевой базы Российской Федерации до 2035 года.</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Отмечается:</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устойчивый рост спроса на нефть;</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рост доли природного газа в мировом потреблении. По данным Международного энергетического агентства, в 2018 году увеличился спрос на все виды топлива. При этом на долю природного газа приходится 45 процентов роста энергопотребления, главным образом, за счет Китайской Народной Республики и США;</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высокие темпы роста доли энергии, производимой на основе возобновляемых источников;</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усиление тенденций регионализации рынков нефти и газа, рост экономик и доли развивающихся стран в мировом энергопотреблении;</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обострение геополитической конкуренции;</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ускорение научно-технологического развития;</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 xml:space="preserve">резкий рост конкуренции на межтопливном рынке, тенденция замещения нефтяных моторных топлив на альтернативные и возобновляемые источники энергии: компримированный и сжиженный природный </w:t>
            </w:r>
            <w:r w:rsidRPr="00EA19CD">
              <w:rPr>
                <w:rFonts w:ascii="Times New Roman" w:eastAsia="Times New Roman" w:hAnsi="Times New Roman" w:cs="Times New Roman"/>
                <w:sz w:val="24"/>
                <w:szCs w:val="24"/>
                <w:lang w:eastAsia="ru-RU"/>
              </w:rPr>
              <w:lastRenderedPageBreak/>
              <w:t xml:space="preserve">газ, электрические батареи и топливные элементы. </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 xml:space="preserve">Российская Федерация входит в число ведущих стран мира – производителей нефтепродуктов. </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В 2018 году, по данным Министерства энергетики Российской Федерации, переработкой нефти и газового конденсата, а также промышленным производством товарных нефтепродуктов занимались 80 специализированных нефтеперерабатывающих и газоперерабатывающих предприятий. Общий объем первичной переработки нефтяного сырья на нефтеперерабатывающих заводах Российской Федерации по сравнению с 2017 годом увеличился на 2,5 процента (или на 7 млн тонн) и составил 286,9 млн тонн, одновременно происходило и повышение его качества (с 2016 года в Российской Федерации выпускается топливо, отвечающее стандарту «Евро-5»).</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В Российской Федерации также увеличился выход светлых нефтепродуктов с 55,7 процента в 2010 году до 62,2 процента в 2018 году. Рост связан с проведением в течение шести последних лет модернизации нефтеперерабатывающих заводов.</w:t>
            </w:r>
            <w:r w:rsidRPr="00EA19CD">
              <w:rPr>
                <w:rFonts w:ascii="Times New Roman" w:eastAsia="Times New Roman" w:hAnsi="Times New Roman" w:cs="Times New Roman"/>
                <w:sz w:val="24"/>
                <w:szCs w:val="24"/>
                <w:lang w:eastAsia="ru-RU"/>
              </w:rPr>
              <w:br/>
              <w:t>В период с 2011 по 2017 год отремонтированы и введены в эксплуатацию</w:t>
            </w:r>
            <w:r w:rsidRPr="00EA19CD">
              <w:rPr>
                <w:rFonts w:ascii="Times New Roman" w:eastAsia="Times New Roman" w:hAnsi="Times New Roman" w:cs="Times New Roman"/>
                <w:sz w:val="24"/>
                <w:szCs w:val="24"/>
                <w:lang w:eastAsia="ru-RU"/>
              </w:rPr>
              <w:br/>
              <w:t>78 установок вторичной переработки. Нефтяные компании взяли на себя обязательства по модернизации до 2027 года 127 установок вторичной переработки нефти.</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 xml:space="preserve">Отмечается заметное увеличение глубины переработки нефти, которая по итогам 2018 года составила 83,4 процента, в 2017 году этот </w:t>
            </w:r>
            <w:r w:rsidRPr="00EA19CD">
              <w:rPr>
                <w:rFonts w:ascii="Times New Roman" w:eastAsia="Times New Roman" w:hAnsi="Times New Roman" w:cs="Times New Roman"/>
                <w:sz w:val="24"/>
                <w:szCs w:val="24"/>
                <w:lang w:eastAsia="ru-RU"/>
              </w:rPr>
              <w:lastRenderedPageBreak/>
              <w:t>показатель не превышал</w:t>
            </w:r>
            <w:r w:rsidRPr="00EA19CD">
              <w:rPr>
                <w:rFonts w:ascii="Times New Roman" w:eastAsia="Times New Roman" w:hAnsi="Times New Roman" w:cs="Times New Roman"/>
                <w:sz w:val="24"/>
                <w:szCs w:val="24"/>
                <w:lang w:eastAsia="ru-RU"/>
              </w:rPr>
              <w:br/>
              <w:t>81,3 процента, а в 2010 году – 70,9 процента. Тем не менее, в США, для сравнения, глубина переработки нефти составляет 90 – 95 процентов, а на самых современных американских нефтеперерабатывающих заводах – до 98 процентов, в странах – членах ОПЕК – 85 процентов, в Европе 85 – 90 процентов.</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В соответствии с постановлением Правительства Российской Федерации</w:t>
            </w:r>
            <w:r w:rsidRPr="00EA19CD">
              <w:rPr>
                <w:rFonts w:ascii="Times New Roman" w:eastAsia="Times New Roman" w:hAnsi="Times New Roman" w:cs="Times New Roman"/>
                <w:sz w:val="24"/>
                <w:szCs w:val="24"/>
                <w:lang w:eastAsia="ru-RU"/>
              </w:rPr>
              <w:br/>
              <w:t xml:space="preserve">от 29 декабря 2018 года № 1725 «О соглашениях о модернизации нефтеперерабатывающих мощностей» Министерством энергетики Российской Федерации в январе 2019 года заключены и подписаны соглашения о модернизации нефтеперерабатывающих мощностей с девятью нефтеперерабатывающими комплексами: АО «Нефтехимсервис», ОАО «Новошахтинский НПЗ», ООО «Афипский НПЗ», АО «ТАНЕКО», ПАО «Орскнефтеоргсинтез», АО «Антипинский НПЗ», ООО «Марийский НПЗ», ООО «Ильский НПЗ» и ООО «Славянск ЭКО». </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В рамках вышеуказанных соглашений нефтяными компаниями до 1 января 2026 года запланирован ввод в эксплуатацию 13 установок вторичной переработки нефти, что позволит увеличить производство автомобильного бензина экологического класса «К5» более чем на 3 млн тонн в год.</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 xml:space="preserve">Общий объем инвестиций в установки вторичной переработки в рамках программ модернизации указанных </w:t>
            </w:r>
            <w:r w:rsidRPr="00EA19CD">
              <w:rPr>
                <w:rFonts w:ascii="Times New Roman" w:eastAsia="Times New Roman" w:hAnsi="Times New Roman" w:cs="Times New Roman"/>
                <w:sz w:val="24"/>
                <w:szCs w:val="24"/>
                <w:lang w:eastAsia="ru-RU"/>
              </w:rPr>
              <w:lastRenderedPageBreak/>
              <w:t>нефтеперерабатывающих заводов за период 2015–2026 годов составит около 300 млрд руб.</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К числу важнейших задач по модернизации предприятий нефтеперерабатывающей и нефтехимической промышленности Российской Федерации относятся:</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переход от торговли сырой нефтью к торговле нефтепродуктами и продуктами нефтехимии;</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производство нефтепродуктов, соответствующих действующим требованиям экологических стандартов;</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модернизация действующих предприятий, строительство новых производств в целях увеличения глубины и комплексности переработки углеводородного сырья;</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развитие отечественных технологий переработки газового и нефтяного сырья.</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Настоящая Стратегия учитывает основные положения Стратегии социально-экономического развития Республики Татарстан до 2030 года, утвержденной Законом Республики Татарстан от 17 июня 2015 года № 40-ЗРТ «Об утверждении Стратегии социально-экономического развития Республики Татарстан</w:t>
            </w:r>
            <w:r w:rsidRPr="00EA19CD">
              <w:rPr>
                <w:rFonts w:ascii="Times New Roman" w:eastAsia="Times New Roman" w:hAnsi="Times New Roman" w:cs="Times New Roman"/>
                <w:sz w:val="24"/>
                <w:szCs w:val="24"/>
                <w:lang w:eastAsia="ru-RU"/>
              </w:rPr>
              <w:br/>
              <w:t xml:space="preserve">до 2030 года», и актуализирует целевые показатели развития отраслей топливно-энергетического комплекса республики на основе достигнутых результатов и трендов. Так, например, внедрение предприятиями нефтяной промышленности Республики Татарстан новых технологий в процессе добычи нефти, в том числе высоковязкой, и геологоразведки, обеспечило уже в период 2014 – 2018 годов </w:t>
            </w:r>
            <w:r w:rsidRPr="00EA19CD">
              <w:rPr>
                <w:rFonts w:ascii="Times New Roman" w:eastAsia="Times New Roman" w:hAnsi="Times New Roman" w:cs="Times New Roman"/>
                <w:sz w:val="24"/>
                <w:szCs w:val="24"/>
                <w:lang w:eastAsia="ru-RU"/>
              </w:rPr>
              <w:lastRenderedPageBreak/>
              <w:t>добычу нефти в объеме 35 511 тыс. тонн, эксплуатационное бурение – 1680 тыс. метров и прирост запасов – 52 млн тонн (при плановых 32 616,5 тыс. тонн, 1390 тыс. м 32,5 млн тонн соответственно).</w:t>
            </w:r>
          </w:p>
          <w:p w:rsidR="001428C4" w:rsidRPr="00D423B2" w:rsidRDefault="001428C4" w:rsidP="000215E2">
            <w:pPr>
              <w:autoSpaceDE w:val="0"/>
              <w:autoSpaceDN w:val="0"/>
              <w:adjustRightInd w:val="0"/>
              <w:ind w:firstLine="709"/>
              <w:jc w:val="both"/>
              <w:rPr>
                <w:rFonts w:ascii="Times New Roman" w:eastAsia="Times New Roman" w:hAnsi="Times New Roman" w:cs="Times New Roman"/>
                <w:sz w:val="24"/>
                <w:szCs w:val="24"/>
                <w:lang w:eastAsia="ru-RU"/>
              </w:rPr>
            </w:pPr>
          </w:p>
          <w:p w:rsidR="001428C4" w:rsidRPr="00D423B2" w:rsidRDefault="00FF58CE" w:rsidP="001428C4">
            <w:pPr>
              <w:autoSpaceDE w:val="0"/>
              <w:autoSpaceDN w:val="0"/>
              <w:adjustRightInd w:val="0"/>
              <w:jc w:val="center"/>
              <w:outlineLvl w:val="1"/>
              <w:rPr>
                <w:rFonts w:ascii="Times New Roman" w:eastAsia="Times New Roman" w:hAnsi="Times New Roman" w:cs="Times New Roman"/>
                <w:b/>
                <w:sz w:val="24"/>
                <w:szCs w:val="24"/>
                <w:lang w:eastAsia="ru-RU"/>
              </w:rPr>
            </w:pPr>
            <w:r w:rsidRPr="00251654">
              <w:rPr>
                <w:rFonts w:ascii="Times New Roman" w:eastAsia="Times New Roman" w:hAnsi="Times New Roman" w:cs="Times New Roman"/>
                <w:b/>
                <w:sz w:val="24"/>
                <w:szCs w:val="24"/>
                <w:lang w:eastAsia="ru-RU"/>
              </w:rPr>
              <w:t>2</w:t>
            </w:r>
            <w:r w:rsidR="001428C4" w:rsidRPr="00251654">
              <w:rPr>
                <w:rFonts w:ascii="Times New Roman" w:eastAsia="Times New Roman" w:hAnsi="Times New Roman" w:cs="Times New Roman"/>
                <w:b/>
                <w:sz w:val="24"/>
                <w:szCs w:val="24"/>
                <w:lang w:eastAsia="ru-RU"/>
              </w:rPr>
              <w:t>. Цели</w:t>
            </w:r>
            <w:r w:rsidR="001428C4" w:rsidRPr="00D423B2">
              <w:rPr>
                <w:rFonts w:ascii="Times New Roman" w:eastAsia="Times New Roman" w:hAnsi="Times New Roman" w:cs="Times New Roman"/>
                <w:b/>
                <w:sz w:val="24"/>
                <w:szCs w:val="24"/>
                <w:lang w:eastAsia="ru-RU"/>
              </w:rPr>
              <w:t>, задачи и механизмы государственной энергетической</w:t>
            </w:r>
            <w:r w:rsidR="001428C4" w:rsidRPr="00D423B2">
              <w:rPr>
                <w:rFonts w:ascii="Times New Roman" w:eastAsia="Times New Roman" w:hAnsi="Times New Roman" w:cs="Times New Roman"/>
                <w:b/>
                <w:sz w:val="24"/>
                <w:szCs w:val="24"/>
                <w:lang w:eastAsia="ru-RU"/>
              </w:rPr>
              <w:br/>
              <w:t>политики Республики Татарстан</w:t>
            </w:r>
          </w:p>
          <w:p w:rsidR="001428C4" w:rsidRPr="00D423B2" w:rsidRDefault="001428C4" w:rsidP="001428C4">
            <w:pPr>
              <w:autoSpaceDE w:val="0"/>
              <w:autoSpaceDN w:val="0"/>
              <w:adjustRightInd w:val="0"/>
              <w:jc w:val="both"/>
              <w:rPr>
                <w:rFonts w:ascii="Times New Roman" w:eastAsia="Times New Roman" w:hAnsi="Times New Roman" w:cs="Times New Roman"/>
                <w:sz w:val="24"/>
                <w:szCs w:val="24"/>
                <w:lang w:eastAsia="ru-RU"/>
              </w:rPr>
            </w:pP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Целью настоящей Стратегии является обеспечение устойчивого развития минерально-сырьевой базы топливно-энергетического комплекса Республики Татарстан и максимально эффективного использования топливно-энергетических ресурсов и потенциала энергетического сектора для обеспечения роста валового регионального продукта и повышения качества жизни населения республики.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Для достижения указанной цели и удовлетворения внутреннего и внешнего спроса на энергоресурсы требуется решение следующих основных задач:</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повышение эффективности геологоразведочных работ, обеспечение рационального недропользования на основе внедрения инновационных технологий полного, энерго- и ресурсосберегающего извлечения углеводородного сырья из недр и его комплексной, глубокой переработки;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развитие рынка сервисных и инжиниринговых услуг, предоставляемых отечественными компаниями в сфере недропользования;</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lastRenderedPageBreak/>
              <w:t>модернизация существующей и создание новой отраслевой энергетической инфраструктуры промышленной и социальной сфер Республики Татарстан;</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дальнейшее совершенствование отраслевого налогового законодательства как инструмента, стимулирующего деятельность хозяйствующих субъектов в инвестиционной, инновационной, энергосберегающей и экологической сферах.</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Кроме того, для максимально эффективного использования топливно-энергетических ресурсов и потенциала энергетического сектора необходимо обеспечить:</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нормативную надежность работы производственной структуры энергетического сектора за счет достаточных резервов производственной мощности, пропускной способности энергетических коммуникаций и создания рациональных резервов топлива;</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уменьшение энергоемкости и электроемкости валового регионального продукта за счет совершенствования структуры и технологического обновления отраслей экономики.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Поставленные задачи будут решаться с использованием следующих мер и механизмов государственной энергетической политики в пределах полномочий Республики Татарстан:</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 xml:space="preserve">применение института государственного представительства в органах управления предприятий топливно-энергетического комплекса для обеспечения достижения целевых </w:t>
            </w:r>
            <w:r w:rsidRPr="00251654">
              <w:rPr>
                <w:rFonts w:ascii="Times New Roman" w:eastAsia="Times New Roman" w:hAnsi="Times New Roman" w:cs="Times New Roman"/>
                <w:sz w:val="24"/>
                <w:szCs w:val="24"/>
                <w:lang w:eastAsia="ru-RU"/>
              </w:rPr>
              <w:lastRenderedPageBreak/>
              <w:t>показателей, установленных в настоящей Стратегии;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совершенствование законодательного регулирования вопроса предоставления земельных участков для целей недропользования;</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применение мер налогового стимулирования при реализации предприятиями топливно-энергетического комплекса приоритетных инвестиционных и инновационных проектов;</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ликвидация сетевых ограничений для конкуренции на рынке электроэнергии (мощности);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содействие переводу оборудования на существующих котельных на газотурбинное оборудование, обеспечивающее комбинированное производство электрической и тепловой энергии;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внедрение системы экономической мотивации энергосбережения через разработку нормативов и целевых показателей энергоэффективности;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стимулирование использования газомоторного топлива вместо традиционных нефтяных видов топлива для автомобильного транспорта через расширение существующей сети автомобильных газонаполнительных компрессорных станций; строительство в Республике Татарстан сети крио-АЗС, софинансирование проектов по переводу техники на компримированный и сжиженный природный газ.</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 xml:space="preserve">инициирование принятия нормативных правовых актов, направленных на развитие и </w:t>
            </w:r>
            <w:r w:rsidRPr="00251654">
              <w:rPr>
                <w:rFonts w:ascii="Times New Roman" w:eastAsia="Times New Roman" w:hAnsi="Times New Roman" w:cs="Times New Roman"/>
                <w:sz w:val="24"/>
                <w:szCs w:val="24"/>
                <w:lang w:eastAsia="ru-RU"/>
              </w:rPr>
              <w:lastRenderedPageBreak/>
              <w:t>модернизацию предприятий топливно-энергетического комплекса;</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внедрение системы экономической мотивации к применению на производстве экологических стандартов в целях уменьшения негативного влияния добычи, производства, транспортировки и потребления энергоресурсов на окружающую среду, климат и здоровье людей;</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обеспечение глубокой модернизации отраслей топливно-энергетического комплекса и энергетической инфраструктуры, в том числе за счет расширения использования механизма государственно-частного партнерства;</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содействие предприятиям топливно-энергетического комплекса Республики Татарстан во включении их в федеральные целевые и государственные программы.</w:t>
            </w:r>
          </w:p>
          <w:p w:rsidR="00AF245F" w:rsidRPr="00D423B2" w:rsidRDefault="00AF245F" w:rsidP="007574D8">
            <w:pPr>
              <w:autoSpaceDE w:val="0"/>
              <w:autoSpaceDN w:val="0"/>
              <w:adjustRightInd w:val="0"/>
              <w:ind w:firstLine="709"/>
              <w:jc w:val="both"/>
              <w:rPr>
                <w:rFonts w:ascii="Times New Roman" w:eastAsia="Times New Roman" w:hAnsi="Times New Roman" w:cs="Times New Roman"/>
                <w:sz w:val="24"/>
                <w:szCs w:val="24"/>
                <w:lang w:eastAsia="ru-RU"/>
              </w:rPr>
            </w:pPr>
          </w:p>
          <w:p w:rsidR="00AF245F" w:rsidRPr="00D423B2" w:rsidRDefault="00832EDF" w:rsidP="00AF245F">
            <w:pPr>
              <w:autoSpaceDE w:val="0"/>
              <w:autoSpaceDN w:val="0"/>
              <w:adjustRightInd w:val="0"/>
              <w:jc w:val="center"/>
              <w:outlineLvl w:val="1"/>
              <w:rPr>
                <w:rFonts w:ascii="Times New Roman" w:eastAsia="Times New Roman" w:hAnsi="Times New Roman" w:cs="Times New Roman"/>
                <w:b/>
                <w:sz w:val="24"/>
                <w:szCs w:val="24"/>
                <w:lang w:eastAsia="ru-RU"/>
              </w:rPr>
            </w:pPr>
            <w:r w:rsidRPr="003D43E3">
              <w:rPr>
                <w:rFonts w:ascii="Times New Roman" w:eastAsia="Times New Roman" w:hAnsi="Times New Roman" w:cs="Times New Roman"/>
                <w:b/>
                <w:sz w:val="24"/>
                <w:szCs w:val="24"/>
                <w:lang w:eastAsia="ru-RU"/>
              </w:rPr>
              <w:t>3</w:t>
            </w:r>
            <w:r w:rsidR="00AF245F" w:rsidRPr="003D43E3">
              <w:rPr>
                <w:rFonts w:ascii="Times New Roman" w:eastAsia="Times New Roman" w:hAnsi="Times New Roman" w:cs="Times New Roman"/>
                <w:b/>
                <w:sz w:val="24"/>
                <w:szCs w:val="24"/>
                <w:lang w:eastAsia="ru-RU"/>
              </w:rPr>
              <w:t>.</w:t>
            </w:r>
            <w:r w:rsidR="00AF245F" w:rsidRPr="00D423B2">
              <w:rPr>
                <w:rFonts w:ascii="Times New Roman" w:eastAsia="Times New Roman" w:hAnsi="Times New Roman" w:cs="Times New Roman"/>
                <w:b/>
                <w:sz w:val="24"/>
                <w:szCs w:val="24"/>
                <w:lang w:eastAsia="ru-RU"/>
              </w:rPr>
              <w:t xml:space="preserve"> Развитие нефтегазового комплекса Республики Татарстан</w:t>
            </w:r>
          </w:p>
          <w:p w:rsidR="00AF245F" w:rsidRPr="00D423B2" w:rsidRDefault="00AF245F" w:rsidP="00AF245F">
            <w:pPr>
              <w:autoSpaceDE w:val="0"/>
              <w:autoSpaceDN w:val="0"/>
              <w:adjustRightInd w:val="0"/>
              <w:jc w:val="center"/>
              <w:outlineLvl w:val="1"/>
              <w:rPr>
                <w:rFonts w:ascii="Times New Roman" w:eastAsia="Times New Roman" w:hAnsi="Times New Roman" w:cs="Times New Roman"/>
                <w:b/>
                <w:sz w:val="24"/>
                <w:szCs w:val="24"/>
                <w:lang w:eastAsia="ru-RU"/>
              </w:rPr>
            </w:pPr>
          </w:p>
          <w:p w:rsidR="00AF245F" w:rsidRPr="00D423B2" w:rsidRDefault="00AF245F" w:rsidP="00AF245F">
            <w:pPr>
              <w:autoSpaceDE w:val="0"/>
              <w:autoSpaceDN w:val="0"/>
              <w:adjustRightInd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3.1. Общая характеристика нефтегазового комплекса Республики Татарстан</w:t>
            </w:r>
          </w:p>
          <w:p w:rsidR="00AF245F" w:rsidRPr="00D423B2" w:rsidRDefault="00AF245F" w:rsidP="00AF245F">
            <w:pPr>
              <w:autoSpaceDE w:val="0"/>
              <w:autoSpaceDN w:val="0"/>
              <w:adjustRightInd w:val="0"/>
              <w:jc w:val="both"/>
              <w:rPr>
                <w:rFonts w:ascii="Times New Roman" w:eastAsia="Times New Roman" w:hAnsi="Times New Roman" w:cs="Times New Roman"/>
                <w:sz w:val="24"/>
                <w:szCs w:val="24"/>
                <w:lang w:eastAsia="ru-RU"/>
              </w:rPr>
            </w:pPr>
          </w:p>
          <w:p w:rsidR="004929C8" w:rsidRPr="004929C8" w:rsidRDefault="004929C8" w:rsidP="004929C8">
            <w:pPr>
              <w:autoSpaceDE w:val="0"/>
              <w:autoSpaceDN w:val="0"/>
              <w:adjustRightInd w:val="0"/>
              <w:ind w:firstLine="709"/>
              <w:jc w:val="both"/>
              <w:rPr>
                <w:rFonts w:ascii="Times New Roman" w:eastAsia="Times New Roman" w:hAnsi="Times New Roman" w:cs="Times New Roman"/>
                <w:sz w:val="24"/>
                <w:szCs w:val="24"/>
                <w:lang w:eastAsia="ru-RU"/>
              </w:rPr>
            </w:pPr>
            <w:r w:rsidRPr="004929C8">
              <w:rPr>
                <w:rFonts w:ascii="Times New Roman" w:eastAsia="Times New Roman" w:hAnsi="Times New Roman" w:cs="Times New Roman"/>
                <w:sz w:val="24"/>
                <w:szCs w:val="24"/>
                <w:lang w:eastAsia="ru-RU"/>
              </w:rPr>
              <w:t>Топливно-энергетический комплекс Республики Татарстан включает в себя нефтедобычу и нефтепереработку, энергетику и систему газоснабжения. Входящие в состав топливно-энергетического комплекса республики отрасли взаимосвязаны в рамках цепочки потребляемого сырья и энергоресурсов.</w:t>
            </w:r>
          </w:p>
          <w:p w:rsidR="004929C8" w:rsidRPr="004929C8" w:rsidRDefault="004929C8" w:rsidP="004929C8">
            <w:pPr>
              <w:autoSpaceDE w:val="0"/>
              <w:autoSpaceDN w:val="0"/>
              <w:adjustRightInd w:val="0"/>
              <w:ind w:firstLine="709"/>
              <w:jc w:val="both"/>
              <w:rPr>
                <w:rFonts w:ascii="Times New Roman" w:eastAsia="Times New Roman" w:hAnsi="Times New Roman" w:cs="Times New Roman"/>
                <w:sz w:val="24"/>
                <w:szCs w:val="24"/>
                <w:lang w:eastAsia="ru-RU"/>
              </w:rPr>
            </w:pPr>
            <w:r w:rsidRPr="004929C8">
              <w:rPr>
                <w:rFonts w:ascii="Times New Roman" w:eastAsia="Times New Roman" w:hAnsi="Times New Roman" w:cs="Times New Roman"/>
                <w:sz w:val="24"/>
                <w:szCs w:val="24"/>
                <w:lang w:eastAsia="ru-RU"/>
              </w:rPr>
              <w:t xml:space="preserve">Топливно-энергетический комплекс республики является основой ее экономики. По итогам 2018 года предприятиями комплекса </w:t>
            </w:r>
            <w:r w:rsidRPr="004929C8">
              <w:rPr>
                <w:rFonts w:ascii="Times New Roman" w:eastAsia="Times New Roman" w:hAnsi="Times New Roman" w:cs="Times New Roman"/>
                <w:sz w:val="24"/>
                <w:szCs w:val="24"/>
                <w:lang w:eastAsia="ru-RU"/>
              </w:rPr>
              <w:lastRenderedPageBreak/>
              <w:t>выпущено 49 процентов объема промышленного производства, обеспечено 75 процентов прибыли региона. Доля топливно-энергетического комплекса в добавленной стоимости составила</w:t>
            </w:r>
            <w:r w:rsidRPr="004929C8">
              <w:rPr>
                <w:rFonts w:ascii="Times New Roman" w:eastAsia="Times New Roman" w:hAnsi="Times New Roman" w:cs="Times New Roman"/>
                <w:sz w:val="24"/>
                <w:szCs w:val="24"/>
                <w:lang w:eastAsia="ru-RU"/>
              </w:rPr>
              <w:br/>
              <w:t>35 процентов.</w:t>
            </w:r>
          </w:p>
          <w:p w:rsidR="004929C8" w:rsidRPr="004929C8" w:rsidRDefault="004929C8" w:rsidP="004929C8">
            <w:pPr>
              <w:autoSpaceDE w:val="0"/>
              <w:autoSpaceDN w:val="0"/>
              <w:adjustRightInd w:val="0"/>
              <w:ind w:firstLine="709"/>
              <w:jc w:val="both"/>
              <w:rPr>
                <w:rFonts w:ascii="Times New Roman" w:eastAsia="Times New Roman" w:hAnsi="Times New Roman" w:cs="Times New Roman"/>
                <w:sz w:val="24"/>
                <w:szCs w:val="24"/>
                <w:lang w:eastAsia="ru-RU"/>
              </w:rPr>
            </w:pPr>
            <w:r w:rsidRPr="004929C8">
              <w:rPr>
                <w:rFonts w:ascii="Times New Roman" w:eastAsia="Times New Roman" w:hAnsi="Times New Roman" w:cs="Times New Roman"/>
                <w:sz w:val="24"/>
                <w:szCs w:val="24"/>
                <w:lang w:eastAsia="ru-RU"/>
              </w:rPr>
              <w:t xml:space="preserve">Основой нефтегазового комплекса является нефтедобыча. Нефть добывается на территории 22 муниципальных районов Республики Татарстан. Разрабатываемые месторождения сосредоточены на Южно-Татарском своде, юго-восточном склоне Северо-Татарского свода и восточном борту Мелекесской </w:t>
            </w:r>
            <w:r w:rsidRPr="004929C8">
              <w:rPr>
                <w:rFonts w:ascii="Times New Roman" w:eastAsia="Times New Roman" w:hAnsi="Times New Roman" w:cs="Times New Roman"/>
                <w:color w:val="000000" w:themeColor="text1"/>
                <w:sz w:val="24"/>
                <w:szCs w:val="24"/>
                <w:lang w:eastAsia="ru-RU"/>
              </w:rPr>
              <w:t xml:space="preserve">впадины </w:t>
            </w:r>
            <w:hyperlink w:anchor="P103" w:history="1">
              <w:r w:rsidRPr="004929C8">
                <w:rPr>
                  <w:rStyle w:val="a9"/>
                  <w:rFonts w:ascii="Times New Roman" w:eastAsia="Times New Roman" w:hAnsi="Times New Roman" w:cs="Times New Roman"/>
                  <w:color w:val="000000" w:themeColor="text1"/>
                  <w:sz w:val="24"/>
                  <w:szCs w:val="24"/>
                  <w:u w:val="none"/>
                  <w:lang w:eastAsia="ru-RU"/>
                </w:rPr>
                <w:t>(рисунок 1)</w:t>
              </w:r>
            </w:hyperlink>
            <w:r w:rsidRPr="004929C8">
              <w:rPr>
                <w:rFonts w:ascii="Times New Roman" w:eastAsia="Times New Roman" w:hAnsi="Times New Roman" w:cs="Times New Roman"/>
                <w:color w:val="000000" w:themeColor="text1"/>
                <w:sz w:val="24"/>
                <w:szCs w:val="24"/>
                <w:lang w:eastAsia="ru-RU"/>
              </w:rPr>
              <w:t>.</w:t>
            </w:r>
          </w:p>
          <w:p w:rsidR="004D2513" w:rsidRPr="00D423B2" w:rsidRDefault="004D2513" w:rsidP="00A7457B">
            <w:pPr>
              <w:autoSpaceDE w:val="0"/>
              <w:autoSpaceDN w:val="0"/>
              <w:adjustRightInd w:val="0"/>
              <w:jc w:val="both"/>
              <w:rPr>
                <w:rFonts w:ascii="Times New Roman" w:eastAsia="Times New Roman" w:hAnsi="Times New Roman" w:cs="Times New Roman"/>
                <w:sz w:val="24"/>
                <w:szCs w:val="24"/>
                <w:lang w:eastAsia="ru-RU"/>
              </w:rPr>
            </w:pPr>
          </w:p>
          <w:p w:rsidR="00AF245F" w:rsidRPr="00D423B2" w:rsidRDefault="00A7457B" w:rsidP="00A7457B">
            <w:pPr>
              <w:autoSpaceDE w:val="0"/>
              <w:autoSpaceDN w:val="0"/>
              <w:adjustRightInd w:val="0"/>
              <w:ind w:firstLine="709"/>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7C032F2C" wp14:editId="2135A498">
                  <wp:extent cx="2304137" cy="1614855"/>
                  <wp:effectExtent l="0" t="0" r="1270" b="444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27365" cy="1631135"/>
                          </a:xfrm>
                          <a:prstGeom prst="rect">
                            <a:avLst/>
                          </a:prstGeom>
                          <a:noFill/>
                        </pic:spPr>
                      </pic:pic>
                    </a:graphicData>
                  </a:graphic>
                </wp:inline>
              </w:drawing>
            </w:r>
          </w:p>
          <w:p w:rsidR="007574D8" w:rsidRPr="00D423B2" w:rsidRDefault="007574D8" w:rsidP="001428C4">
            <w:pPr>
              <w:autoSpaceDE w:val="0"/>
              <w:autoSpaceDN w:val="0"/>
              <w:adjustRightInd w:val="0"/>
              <w:ind w:firstLine="709"/>
              <w:jc w:val="both"/>
              <w:rPr>
                <w:rFonts w:ascii="Times New Roman" w:eastAsia="Times New Roman" w:hAnsi="Times New Roman" w:cs="Times New Roman"/>
                <w:sz w:val="24"/>
                <w:szCs w:val="24"/>
                <w:lang w:eastAsia="ru-RU"/>
              </w:rPr>
            </w:pPr>
          </w:p>
          <w:p w:rsidR="001428C4" w:rsidRPr="00D423B2" w:rsidRDefault="001428C4" w:rsidP="000215E2">
            <w:pPr>
              <w:autoSpaceDE w:val="0"/>
              <w:autoSpaceDN w:val="0"/>
              <w:adjustRightInd w:val="0"/>
              <w:ind w:firstLine="709"/>
              <w:jc w:val="both"/>
              <w:rPr>
                <w:rFonts w:ascii="Times New Roman" w:eastAsia="Times New Roman" w:hAnsi="Times New Roman" w:cs="Times New Roman"/>
                <w:sz w:val="24"/>
                <w:szCs w:val="24"/>
                <w:lang w:eastAsia="ru-RU"/>
              </w:rPr>
            </w:pPr>
          </w:p>
          <w:p w:rsidR="006C2B43" w:rsidRPr="006C2B43" w:rsidRDefault="006C2B43" w:rsidP="006C2B43">
            <w:pPr>
              <w:autoSpaceDE w:val="0"/>
              <w:autoSpaceDN w:val="0"/>
              <w:adjustRightInd w:val="0"/>
              <w:jc w:val="center"/>
              <w:rPr>
                <w:rFonts w:ascii="Times New Roman" w:eastAsia="Times New Roman" w:hAnsi="Times New Roman" w:cs="Times New Roman"/>
                <w:sz w:val="16"/>
                <w:szCs w:val="16"/>
                <w:lang w:eastAsia="ru-RU"/>
              </w:rPr>
            </w:pPr>
            <w:r w:rsidRPr="006C2B43">
              <w:rPr>
                <w:rFonts w:ascii="Times New Roman" w:eastAsia="Times New Roman" w:hAnsi="Times New Roman" w:cs="Times New Roman"/>
                <w:sz w:val="16"/>
                <w:szCs w:val="16"/>
                <w:lang w:eastAsia="ru-RU"/>
              </w:rPr>
              <w:t>Рис. 1. Схема расположения лицензионных площадей на</w:t>
            </w:r>
          </w:p>
          <w:p w:rsidR="006C2B43" w:rsidRPr="006C2B43" w:rsidRDefault="006C2B43" w:rsidP="006C2B43">
            <w:pPr>
              <w:autoSpaceDE w:val="0"/>
              <w:autoSpaceDN w:val="0"/>
              <w:adjustRightInd w:val="0"/>
              <w:jc w:val="center"/>
              <w:rPr>
                <w:rFonts w:ascii="Times New Roman" w:eastAsia="Times New Roman" w:hAnsi="Times New Roman" w:cs="Times New Roman"/>
                <w:sz w:val="16"/>
                <w:szCs w:val="16"/>
                <w:lang w:eastAsia="ru-RU"/>
              </w:rPr>
            </w:pPr>
            <w:r w:rsidRPr="006C2B43">
              <w:rPr>
                <w:rFonts w:ascii="Times New Roman" w:eastAsia="Times New Roman" w:hAnsi="Times New Roman" w:cs="Times New Roman"/>
                <w:sz w:val="16"/>
                <w:szCs w:val="16"/>
                <w:lang w:eastAsia="ru-RU"/>
              </w:rPr>
              <w:t>геологическое изучение, разведку и добычу нефти и</w:t>
            </w:r>
          </w:p>
          <w:p w:rsidR="000215E2" w:rsidRDefault="006C2B43" w:rsidP="006C2B43">
            <w:pPr>
              <w:jc w:val="center"/>
              <w:rPr>
                <w:rFonts w:ascii="Times New Roman" w:eastAsia="Times New Roman" w:hAnsi="Times New Roman" w:cs="Times New Roman"/>
                <w:sz w:val="16"/>
                <w:szCs w:val="16"/>
                <w:lang w:eastAsia="ru-RU"/>
              </w:rPr>
            </w:pPr>
            <w:r w:rsidRPr="006C2B43">
              <w:rPr>
                <w:rFonts w:ascii="Times New Roman" w:eastAsia="Times New Roman" w:hAnsi="Times New Roman" w:cs="Times New Roman"/>
                <w:sz w:val="16"/>
                <w:szCs w:val="16"/>
                <w:lang w:eastAsia="ru-RU"/>
              </w:rPr>
              <w:t>нераспределенного фонда недр Республики Татарстан</w:t>
            </w:r>
          </w:p>
          <w:p w:rsidR="006C2B43" w:rsidRPr="00D423B2" w:rsidRDefault="006C2B43" w:rsidP="006C2B43">
            <w:pPr>
              <w:jc w:val="center"/>
              <w:rPr>
                <w:rFonts w:ascii="Times New Roman" w:hAnsi="Times New Roman" w:cs="Times New Roman"/>
                <w:sz w:val="24"/>
                <w:szCs w:val="24"/>
              </w:rPr>
            </w:pPr>
          </w:p>
          <w:p w:rsidR="00E51761" w:rsidRPr="00E51761" w:rsidRDefault="00E51761" w:rsidP="00E51761">
            <w:pPr>
              <w:autoSpaceDE w:val="0"/>
              <w:autoSpaceDN w:val="0"/>
              <w:adjustRightInd w:val="0"/>
              <w:ind w:firstLine="709"/>
              <w:jc w:val="both"/>
              <w:rPr>
                <w:rFonts w:ascii="Times New Roman" w:eastAsia="Times New Roman" w:hAnsi="Times New Roman" w:cs="Times New Roman"/>
                <w:sz w:val="24"/>
                <w:szCs w:val="24"/>
                <w:lang w:eastAsia="ru-RU"/>
              </w:rPr>
            </w:pPr>
            <w:r w:rsidRPr="00E51761">
              <w:rPr>
                <w:rFonts w:ascii="Times New Roman" w:eastAsia="Times New Roman" w:hAnsi="Times New Roman" w:cs="Times New Roman"/>
                <w:sz w:val="24"/>
                <w:szCs w:val="24"/>
                <w:lang w:eastAsia="ru-RU"/>
              </w:rPr>
              <w:t>За период 2017 – 2018 годов при суммарном объеме нефтедобычи в Республике Татарстан в 72,1 млн тонн прирост запасов промышленных категорий составил 84,7 млн тонн.</w:t>
            </w:r>
          </w:p>
          <w:p w:rsidR="00E51761" w:rsidRPr="00E51761" w:rsidRDefault="00E51761" w:rsidP="00E51761">
            <w:pPr>
              <w:autoSpaceDE w:val="0"/>
              <w:autoSpaceDN w:val="0"/>
              <w:adjustRightInd w:val="0"/>
              <w:ind w:firstLine="709"/>
              <w:jc w:val="both"/>
              <w:rPr>
                <w:rFonts w:ascii="Times New Roman" w:eastAsia="Times New Roman" w:hAnsi="Times New Roman" w:cs="Times New Roman"/>
                <w:sz w:val="24"/>
                <w:szCs w:val="24"/>
                <w:lang w:eastAsia="ru-RU"/>
              </w:rPr>
            </w:pPr>
            <w:r w:rsidRPr="00E51761">
              <w:rPr>
                <w:rFonts w:ascii="Times New Roman" w:eastAsia="Times New Roman" w:hAnsi="Times New Roman" w:cs="Times New Roman"/>
                <w:sz w:val="24"/>
                <w:szCs w:val="24"/>
                <w:lang w:eastAsia="ru-RU"/>
              </w:rPr>
              <w:t xml:space="preserve">Действующий лицензионный фонд на право пользования недрами нефтяных </w:t>
            </w:r>
            <w:r w:rsidRPr="00E51761">
              <w:rPr>
                <w:rFonts w:ascii="Times New Roman" w:eastAsia="Times New Roman" w:hAnsi="Times New Roman" w:cs="Times New Roman"/>
                <w:sz w:val="24"/>
                <w:szCs w:val="24"/>
                <w:lang w:eastAsia="ru-RU"/>
              </w:rPr>
              <w:lastRenderedPageBreak/>
              <w:t>месторождений и участками недр с целью поиска и оценки месторождений углеводородного сырья состоит из 149 лицензий, в том числе 67 лицензий принадлежат ПАО «Татнефть». По состоянию на 1 апреля 2019 года структура лицензионного фонда углеводородного сырья следующая:</w:t>
            </w:r>
          </w:p>
          <w:p w:rsidR="00E51761" w:rsidRPr="00E51761" w:rsidRDefault="00E51761" w:rsidP="00E51761">
            <w:pPr>
              <w:autoSpaceDE w:val="0"/>
              <w:autoSpaceDN w:val="0"/>
              <w:adjustRightInd w:val="0"/>
              <w:ind w:firstLine="709"/>
              <w:jc w:val="both"/>
              <w:rPr>
                <w:rFonts w:ascii="Times New Roman" w:eastAsia="Times New Roman" w:hAnsi="Times New Roman" w:cs="Times New Roman"/>
                <w:sz w:val="24"/>
                <w:szCs w:val="24"/>
                <w:lang w:eastAsia="ru-RU"/>
              </w:rPr>
            </w:pPr>
            <w:r w:rsidRPr="00E51761">
              <w:rPr>
                <w:rFonts w:ascii="Times New Roman" w:eastAsia="Times New Roman" w:hAnsi="Times New Roman" w:cs="Times New Roman"/>
                <w:sz w:val="24"/>
                <w:szCs w:val="24"/>
                <w:lang w:eastAsia="ru-RU"/>
              </w:rPr>
              <w:t>114 лицензий – на добычу;</w:t>
            </w:r>
          </w:p>
          <w:p w:rsidR="00E51761" w:rsidRPr="00E51761" w:rsidRDefault="00E51761" w:rsidP="00E51761">
            <w:pPr>
              <w:autoSpaceDE w:val="0"/>
              <w:autoSpaceDN w:val="0"/>
              <w:adjustRightInd w:val="0"/>
              <w:ind w:firstLine="709"/>
              <w:jc w:val="both"/>
              <w:rPr>
                <w:rFonts w:ascii="Times New Roman" w:eastAsia="Times New Roman" w:hAnsi="Times New Roman" w:cs="Times New Roman"/>
                <w:sz w:val="24"/>
                <w:szCs w:val="24"/>
                <w:lang w:eastAsia="ru-RU"/>
              </w:rPr>
            </w:pPr>
            <w:r w:rsidRPr="00E51761">
              <w:rPr>
                <w:rFonts w:ascii="Times New Roman" w:eastAsia="Times New Roman" w:hAnsi="Times New Roman" w:cs="Times New Roman"/>
                <w:sz w:val="24"/>
                <w:szCs w:val="24"/>
                <w:lang w:eastAsia="ru-RU"/>
              </w:rPr>
              <w:t>30 лицензий – на поиск, разведку и добычу;</w:t>
            </w:r>
          </w:p>
          <w:p w:rsidR="00E51761" w:rsidRPr="00E51761" w:rsidRDefault="00E51761" w:rsidP="00E51761">
            <w:pPr>
              <w:autoSpaceDE w:val="0"/>
              <w:autoSpaceDN w:val="0"/>
              <w:adjustRightInd w:val="0"/>
              <w:ind w:firstLine="709"/>
              <w:jc w:val="both"/>
              <w:rPr>
                <w:rFonts w:ascii="Times New Roman" w:eastAsia="Times New Roman" w:hAnsi="Times New Roman" w:cs="Times New Roman"/>
                <w:sz w:val="24"/>
                <w:szCs w:val="24"/>
                <w:lang w:eastAsia="ru-RU"/>
              </w:rPr>
            </w:pPr>
            <w:r w:rsidRPr="00E51761">
              <w:rPr>
                <w:rFonts w:ascii="Times New Roman" w:eastAsia="Times New Roman" w:hAnsi="Times New Roman" w:cs="Times New Roman"/>
                <w:sz w:val="24"/>
                <w:szCs w:val="24"/>
                <w:lang w:eastAsia="ru-RU"/>
              </w:rPr>
              <w:t>5 лицензий – на геологическое изучение недр.</w:t>
            </w:r>
          </w:p>
          <w:p w:rsidR="00E51761" w:rsidRPr="00E51761" w:rsidRDefault="00E51761" w:rsidP="00E51761">
            <w:pPr>
              <w:autoSpaceDE w:val="0"/>
              <w:autoSpaceDN w:val="0"/>
              <w:adjustRightInd w:val="0"/>
              <w:ind w:firstLine="709"/>
              <w:jc w:val="both"/>
              <w:rPr>
                <w:rFonts w:ascii="Times New Roman" w:eastAsia="Times New Roman" w:hAnsi="Times New Roman" w:cs="Times New Roman"/>
                <w:sz w:val="24"/>
                <w:szCs w:val="24"/>
                <w:lang w:eastAsia="ru-RU"/>
              </w:rPr>
            </w:pPr>
            <w:r w:rsidRPr="00E51761">
              <w:rPr>
                <w:rFonts w:ascii="Times New Roman" w:eastAsia="Times New Roman" w:hAnsi="Times New Roman" w:cs="Times New Roman"/>
                <w:sz w:val="24"/>
                <w:szCs w:val="24"/>
                <w:lang w:eastAsia="ru-RU"/>
              </w:rPr>
              <w:t>С целью повышения эффективности использования ресурсов углеводородного сырья в Республике Татарстан реализуется стратегия диверсификации структуры промышленного производства, организации и дальнейшего развития комплексной, углубленной переработки нефти. С 2015 по 2018 год доля продукции нефтеперерабатывающей и нефтехимической промышленности в структуре промышленного производства в среднем составила 32 процента на фоне сокращения вклада нефтяной промышленности с 23 до 22 процентов.</w:t>
            </w:r>
          </w:p>
          <w:p w:rsidR="00E51761" w:rsidRPr="00E51761" w:rsidRDefault="00E51761" w:rsidP="00E51761">
            <w:pPr>
              <w:autoSpaceDE w:val="0"/>
              <w:autoSpaceDN w:val="0"/>
              <w:adjustRightInd w:val="0"/>
              <w:ind w:firstLine="709"/>
              <w:jc w:val="both"/>
              <w:rPr>
                <w:rFonts w:ascii="Times New Roman" w:eastAsia="Times New Roman" w:hAnsi="Times New Roman" w:cs="Times New Roman"/>
                <w:sz w:val="24"/>
                <w:szCs w:val="24"/>
                <w:lang w:eastAsia="ru-RU"/>
              </w:rPr>
            </w:pPr>
            <w:r w:rsidRPr="00E51761">
              <w:rPr>
                <w:rFonts w:ascii="Times New Roman" w:eastAsia="Times New Roman" w:hAnsi="Times New Roman" w:cs="Times New Roman"/>
                <w:sz w:val="24"/>
                <w:szCs w:val="24"/>
                <w:lang w:eastAsia="ru-RU"/>
              </w:rPr>
              <w:t xml:space="preserve">Ежегодно на территории Республики Татарстан добывается около 36 млн тонн нефти. Нефтедобывающая отрасль Республики Татарстан представлена ПАО «Татнефть», на долю которого приходится порядка 80 процентов добываемой в республике нефти. Компания занимает пятое место в Российской Федерации по добыче нефти. </w:t>
            </w:r>
          </w:p>
          <w:p w:rsidR="00E51761" w:rsidRPr="00E51761" w:rsidRDefault="00E51761" w:rsidP="00E51761">
            <w:pPr>
              <w:autoSpaceDE w:val="0"/>
              <w:autoSpaceDN w:val="0"/>
              <w:adjustRightInd w:val="0"/>
              <w:ind w:firstLine="709"/>
              <w:jc w:val="both"/>
              <w:rPr>
                <w:rFonts w:ascii="Times New Roman" w:eastAsia="Times New Roman" w:hAnsi="Times New Roman" w:cs="Times New Roman"/>
                <w:sz w:val="24"/>
                <w:szCs w:val="24"/>
                <w:lang w:eastAsia="ru-RU"/>
              </w:rPr>
            </w:pPr>
            <w:r w:rsidRPr="00E51761">
              <w:rPr>
                <w:rFonts w:ascii="Times New Roman" w:eastAsia="Times New Roman" w:hAnsi="Times New Roman" w:cs="Times New Roman"/>
                <w:sz w:val="24"/>
                <w:szCs w:val="24"/>
                <w:lang w:eastAsia="ru-RU"/>
              </w:rPr>
              <w:t xml:space="preserve">В 2018 году компанией ПАО «Татнефть» в Республике Татарстан добыто 29,0 млн тонн </w:t>
            </w:r>
            <w:r w:rsidRPr="00E51761">
              <w:rPr>
                <w:rFonts w:ascii="Times New Roman" w:eastAsia="Times New Roman" w:hAnsi="Times New Roman" w:cs="Times New Roman"/>
                <w:sz w:val="24"/>
                <w:szCs w:val="24"/>
                <w:lang w:eastAsia="ru-RU"/>
              </w:rPr>
              <w:lastRenderedPageBreak/>
              <w:t>нефти и 956 млн куб. метров попутного нефтяного газа.</w:t>
            </w:r>
          </w:p>
          <w:p w:rsidR="00E51761" w:rsidRPr="00E51761" w:rsidRDefault="00E51761" w:rsidP="00E51761">
            <w:pPr>
              <w:autoSpaceDE w:val="0"/>
              <w:autoSpaceDN w:val="0"/>
              <w:adjustRightInd w:val="0"/>
              <w:ind w:firstLine="709"/>
              <w:jc w:val="both"/>
              <w:rPr>
                <w:rFonts w:ascii="Times New Roman" w:eastAsia="Times New Roman" w:hAnsi="Times New Roman" w:cs="Times New Roman"/>
                <w:sz w:val="24"/>
                <w:szCs w:val="24"/>
                <w:lang w:eastAsia="ru-RU"/>
              </w:rPr>
            </w:pPr>
            <w:r w:rsidRPr="00E51761">
              <w:rPr>
                <w:rFonts w:ascii="Times New Roman" w:eastAsia="Times New Roman" w:hAnsi="Times New Roman" w:cs="Times New Roman"/>
                <w:sz w:val="24"/>
                <w:szCs w:val="24"/>
                <w:lang w:eastAsia="ru-RU"/>
              </w:rPr>
              <w:t>Кроме того, на территории Республики Татарстан работает 30 малых нефтедобывающих компаний (далее – МНК). В 2018 году добыча нефти такими компаниями составила 7,1 млн тонн и 81 млн куб. метров попутного газа при степени утилизации 93 процента.</w:t>
            </w:r>
          </w:p>
          <w:p w:rsidR="00E51761" w:rsidRPr="00E51761" w:rsidRDefault="00E51761" w:rsidP="00E51761">
            <w:pPr>
              <w:autoSpaceDE w:val="0"/>
              <w:autoSpaceDN w:val="0"/>
              <w:adjustRightInd w:val="0"/>
              <w:ind w:firstLine="709"/>
              <w:jc w:val="both"/>
              <w:rPr>
                <w:rFonts w:ascii="Times New Roman" w:eastAsia="Times New Roman" w:hAnsi="Times New Roman" w:cs="Times New Roman"/>
                <w:sz w:val="24"/>
                <w:szCs w:val="24"/>
                <w:lang w:eastAsia="ru-RU"/>
              </w:rPr>
            </w:pPr>
            <w:r w:rsidRPr="00E51761">
              <w:rPr>
                <w:rFonts w:ascii="Times New Roman" w:eastAsia="Times New Roman" w:hAnsi="Times New Roman" w:cs="Times New Roman"/>
                <w:sz w:val="24"/>
                <w:szCs w:val="24"/>
                <w:lang w:eastAsia="ru-RU"/>
              </w:rPr>
              <w:t xml:space="preserve">Республика Татарстан является одним из лидеров нефтяной промышленности страны по степени утилизации попутного газа. В настоящее время этот показатель по всем нефтяным компаниям республики составляет 95 процентов </w:t>
            </w:r>
            <w:hyperlink w:anchor="P119" w:history="1">
              <w:r w:rsidRPr="00E51761">
                <w:rPr>
                  <w:rStyle w:val="a9"/>
                  <w:rFonts w:ascii="Times New Roman" w:eastAsia="Times New Roman" w:hAnsi="Times New Roman" w:cs="Times New Roman"/>
                  <w:color w:val="000000" w:themeColor="text1"/>
                  <w:sz w:val="24"/>
                  <w:szCs w:val="24"/>
                  <w:u w:val="none"/>
                  <w:lang w:eastAsia="ru-RU"/>
                </w:rPr>
                <w:t>(таблицы 1 и 2)</w:t>
              </w:r>
            </w:hyperlink>
            <w:r w:rsidRPr="00E51761">
              <w:rPr>
                <w:rFonts w:ascii="Times New Roman" w:eastAsia="Times New Roman" w:hAnsi="Times New Roman" w:cs="Times New Roman"/>
                <w:color w:val="000000" w:themeColor="text1"/>
                <w:sz w:val="24"/>
                <w:szCs w:val="24"/>
                <w:lang w:eastAsia="ru-RU"/>
              </w:rPr>
              <w:t>.</w:t>
            </w:r>
          </w:p>
          <w:p w:rsidR="00A917AF" w:rsidRPr="00DC5519" w:rsidRDefault="00A917AF" w:rsidP="00A917AF">
            <w:pPr>
              <w:autoSpaceDE w:val="0"/>
              <w:autoSpaceDN w:val="0"/>
              <w:adjustRightInd w:val="0"/>
              <w:jc w:val="right"/>
              <w:rPr>
                <w:rFonts w:ascii="Times New Roman" w:eastAsia="Times New Roman" w:hAnsi="Times New Roman" w:cs="Times New Roman"/>
                <w:lang w:eastAsia="ru-RU"/>
              </w:rPr>
            </w:pPr>
            <w:r w:rsidRPr="00DC5519">
              <w:rPr>
                <w:rFonts w:ascii="Times New Roman" w:eastAsia="Times New Roman" w:hAnsi="Times New Roman" w:cs="Times New Roman"/>
                <w:lang w:eastAsia="ru-RU"/>
              </w:rPr>
              <w:t>Т</w:t>
            </w:r>
            <w:r w:rsidR="00303C32">
              <w:rPr>
                <w:rFonts w:ascii="Times New Roman" w:eastAsia="Times New Roman" w:hAnsi="Times New Roman" w:cs="Times New Roman"/>
                <w:lang w:eastAsia="ru-RU"/>
              </w:rPr>
              <w:t xml:space="preserve">аблица </w:t>
            </w:r>
            <w:r w:rsidRPr="00DC5519">
              <w:rPr>
                <w:rFonts w:ascii="Times New Roman" w:eastAsia="Times New Roman" w:hAnsi="Times New Roman" w:cs="Times New Roman"/>
                <w:lang w:eastAsia="ru-RU"/>
              </w:rPr>
              <w:t>1</w:t>
            </w:r>
          </w:p>
          <w:p w:rsidR="00A917AF" w:rsidRPr="00DC5519" w:rsidRDefault="00A917AF" w:rsidP="00A917AF">
            <w:pPr>
              <w:autoSpaceDE w:val="0"/>
              <w:autoSpaceDN w:val="0"/>
              <w:adjustRightInd w:val="0"/>
              <w:jc w:val="center"/>
              <w:rPr>
                <w:rFonts w:ascii="Times New Roman" w:eastAsia="Times New Roman" w:hAnsi="Times New Roman" w:cs="Times New Roman"/>
                <w:lang w:eastAsia="ru-RU"/>
              </w:rPr>
            </w:pPr>
          </w:p>
          <w:p w:rsidR="00267B23" w:rsidRPr="00267B23" w:rsidRDefault="00267B23" w:rsidP="00267B23">
            <w:pPr>
              <w:autoSpaceDE w:val="0"/>
              <w:autoSpaceDN w:val="0"/>
              <w:adjustRightInd w:val="0"/>
              <w:jc w:val="center"/>
              <w:rPr>
                <w:rFonts w:ascii="Times New Roman" w:eastAsia="Times New Roman" w:hAnsi="Times New Roman" w:cs="Times New Roman"/>
                <w:lang w:eastAsia="ru-RU"/>
              </w:rPr>
            </w:pPr>
            <w:r w:rsidRPr="00267B23">
              <w:rPr>
                <w:rFonts w:ascii="Times New Roman" w:eastAsia="Times New Roman" w:hAnsi="Times New Roman" w:cs="Times New Roman"/>
                <w:lang w:eastAsia="ru-RU"/>
              </w:rPr>
              <w:t>Добыча и утилизация попутного нефтяного газа ПАО «Татнефть»</w:t>
            </w:r>
          </w:p>
          <w:p w:rsidR="00A917AF" w:rsidRPr="00D423B2" w:rsidRDefault="00A917AF" w:rsidP="00A917AF">
            <w:pPr>
              <w:autoSpaceDE w:val="0"/>
              <w:autoSpaceDN w:val="0"/>
              <w:adjustRightInd w:val="0"/>
              <w:jc w:val="center"/>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165"/>
              <w:gridCol w:w="712"/>
              <w:gridCol w:w="714"/>
              <w:gridCol w:w="713"/>
              <w:gridCol w:w="714"/>
            </w:tblGrid>
            <w:tr w:rsidR="009E75FE" w:rsidRPr="00EE54D2" w:rsidTr="00062936">
              <w:tc>
                <w:tcPr>
                  <w:tcW w:w="2158"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Наименование показателя / годы</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2015</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2016</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2017</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2018</w:t>
                  </w:r>
                </w:p>
              </w:tc>
            </w:tr>
            <w:tr w:rsidR="009E75FE" w:rsidRPr="00EE54D2" w:rsidTr="00062936">
              <w:tc>
                <w:tcPr>
                  <w:tcW w:w="2158" w:type="pct"/>
                </w:tcPr>
                <w:p w:rsidR="009E75FE" w:rsidRPr="009E75FE" w:rsidRDefault="009E75FE" w:rsidP="009E75FE">
                  <w:pPr>
                    <w:pStyle w:val="ConsPlusNormal"/>
                    <w:spacing w:before="60" w:after="60"/>
                    <w:rPr>
                      <w:rFonts w:ascii="Times New Roman" w:hAnsi="Times New Roman" w:cs="Times New Roman"/>
                      <w:sz w:val="16"/>
                      <w:szCs w:val="16"/>
                    </w:rPr>
                  </w:pPr>
                  <w:r w:rsidRPr="009E75FE">
                    <w:rPr>
                      <w:rFonts w:ascii="Times New Roman" w:hAnsi="Times New Roman" w:cs="Times New Roman"/>
                      <w:sz w:val="16"/>
                      <w:szCs w:val="16"/>
                    </w:rPr>
                    <w:t>Добыча попутного газа, млн куб. метров</w:t>
                  </w:r>
                </w:p>
              </w:tc>
              <w:tc>
                <w:tcPr>
                  <w:tcW w:w="710" w:type="pct"/>
                </w:tcPr>
                <w:p w:rsidR="009E75FE" w:rsidRPr="009E75FE" w:rsidRDefault="009E75FE" w:rsidP="009E75FE">
                  <w:pPr>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946,9</w:t>
                  </w:r>
                </w:p>
              </w:tc>
              <w:tc>
                <w:tcPr>
                  <w:tcW w:w="711" w:type="pct"/>
                </w:tcPr>
                <w:p w:rsidR="009E75FE" w:rsidRPr="009E75FE" w:rsidRDefault="009E75FE" w:rsidP="009E75FE">
                  <w:pPr>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978,5</w:t>
                  </w:r>
                </w:p>
              </w:tc>
              <w:tc>
                <w:tcPr>
                  <w:tcW w:w="710" w:type="pct"/>
                </w:tcPr>
                <w:p w:rsidR="009E75FE" w:rsidRPr="009E75FE" w:rsidRDefault="009E75FE" w:rsidP="009E75FE">
                  <w:pPr>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960,0</w:t>
                  </w:r>
                </w:p>
              </w:tc>
              <w:tc>
                <w:tcPr>
                  <w:tcW w:w="711" w:type="pct"/>
                </w:tcPr>
                <w:p w:rsidR="009E75FE" w:rsidRPr="009E75FE" w:rsidRDefault="009E75FE" w:rsidP="009E75FE">
                  <w:pPr>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963,2</w:t>
                  </w:r>
                </w:p>
              </w:tc>
            </w:tr>
            <w:tr w:rsidR="009E75FE" w:rsidRPr="00EE54D2" w:rsidTr="00062936">
              <w:tc>
                <w:tcPr>
                  <w:tcW w:w="2158" w:type="pct"/>
                </w:tcPr>
                <w:p w:rsidR="009E75FE" w:rsidRPr="009E75FE" w:rsidRDefault="009E75FE" w:rsidP="009E75FE">
                  <w:pPr>
                    <w:pStyle w:val="ConsPlusNormal"/>
                    <w:spacing w:before="60" w:after="60"/>
                    <w:ind w:left="284"/>
                    <w:rPr>
                      <w:rFonts w:ascii="Times New Roman" w:hAnsi="Times New Roman" w:cs="Times New Roman"/>
                      <w:sz w:val="16"/>
                      <w:szCs w:val="16"/>
                    </w:rPr>
                  </w:pPr>
                  <w:r w:rsidRPr="009E75FE">
                    <w:rPr>
                      <w:rFonts w:ascii="Times New Roman" w:hAnsi="Times New Roman" w:cs="Times New Roman"/>
                      <w:sz w:val="16"/>
                      <w:szCs w:val="16"/>
                    </w:rPr>
                    <w:t>в том числе по Республике Татарстан,  млн куб. метров</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938,5</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971,0</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951,8</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955,8</w:t>
                  </w:r>
                </w:p>
              </w:tc>
            </w:tr>
            <w:tr w:rsidR="009E75FE" w:rsidRPr="00EE54D2" w:rsidTr="00062936">
              <w:tc>
                <w:tcPr>
                  <w:tcW w:w="2158" w:type="pct"/>
                </w:tcPr>
                <w:p w:rsidR="009E75FE" w:rsidRPr="009E75FE" w:rsidRDefault="009E75FE" w:rsidP="009E75FE">
                  <w:pPr>
                    <w:pStyle w:val="ConsPlusNormal"/>
                    <w:spacing w:before="60" w:after="60"/>
                    <w:rPr>
                      <w:rFonts w:ascii="Times New Roman" w:hAnsi="Times New Roman" w:cs="Times New Roman"/>
                      <w:sz w:val="16"/>
                      <w:szCs w:val="16"/>
                    </w:rPr>
                  </w:pPr>
                  <w:r w:rsidRPr="009E75FE">
                    <w:rPr>
                      <w:rFonts w:ascii="Times New Roman" w:hAnsi="Times New Roman" w:cs="Times New Roman"/>
                      <w:sz w:val="16"/>
                      <w:szCs w:val="16"/>
                    </w:rPr>
                    <w:t>Прием на переработку, млн куб. метров (поставка на переработку с ННК, ЕНПУ)</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p>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 xml:space="preserve">814,6 </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p>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853,7</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p>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820,1</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p>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845,4</w:t>
                  </w:r>
                </w:p>
              </w:tc>
            </w:tr>
            <w:tr w:rsidR="009E75FE" w:rsidRPr="00EE54D2" w:rsidTr="00062936">
              <w:tc>
                <w:tcPr>
                  <w:tcW w:w="2158" w:type="pct"/>
                </w:tcPr>
                <w:p w:rsidR="009E75FE" w:rsidRPr="009E75FE" w:rsidRDefault="009E75FE" w:rsidP="009E75FE">
                  <w:pPr>
                    <w:pStyle w:val="ConsPlusNormal"/>
                    <w:spacing w:before="60" w:after="60"/>
                    <w:rPr>
                      <w:rFonts w:ascii="Times New Roman" w:hAnsi="Times New Roman" w:cs="Times New Roman"/>
                      <w:sz w:val="16"/>
                      <w:szCs w:val="16"/>
                    </w:rPr>
                  </w:pPr>
                  <w:r w:rsidRPr="009E75FE">
                    <w:rPr>
                      <w:rFonts w:ascii="Times New Roman" w:hAnsi="Times New Roman" w:cs="Times New Roman"/>
                      <w:sz w:val="16"/>
                      <w:szCs w:val="16"/>
                    </w:rPr>
                    <w:t>Степень утилизации, %</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 xml:space="preserve">95,17 </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96,44</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96,16</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96,27</w:t>
                  </w:r>
                </w:p>
              </w:tc>
            </w:tr>
          </w:tbl>
          <w:p w:rsidR="00E72F67" w:rsidRPr="00D423B2" w:rsidRDefault="00E72F67" w:rsidP="000215E2">
            <w:pPr>
              <w:jc w:val="center"/>
              <w:rPr>
                <w:rFonts w:ascii="Times New Roman" w:hAnsi="Times New Roman" w:cs="Times New Roman"/>
                <w:sz w:val="24"/>
                <w:szCs w:val="24"/>
              </w:rPr>
            </w:pPr>
          </w:p>
          <w:p w:rsidR="00FC29C6" w:rsidRPr="00DC5519" w:rsidRDefault="00303C32" w:rsidP="00FC29C6">
            <w:pPr>
              <w:autoSpaceDE w:val="0"/>
              <w:autoSpaceDN w:val="0"/>
              <w:adjustRightInd w:val="0"/>
              <w:jc w:val="right"/>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Таблица </w:t>
            </w:r>
            <w:r w:rsidR="00FC29C6" w:rsidRPr="00DC5519">
              <w:rPr>
                <w:rFonts w:ascii="Times New Roman" w:eastAsia="Times New Roman" w:hAnsi="Times New Roman" w:cs="Times New Roman"/>
                <w:lang w:eastAsia="ru-RU"/>
              </w:rPr>
              <w:t>2</w:t>
            </w:r>
          </w:p>
          <w:p w:rsidR="00FC29C6" w:rsidRPr="00D423B2" w:rsidRDefault="00FC29C6" w:rsidP="00FC29C6">
            <w:pPr>
              <w:autoSpaceDE w:val="0"/>
              <w:autoSpaceDN w:val="0"/>
              <w:adjustRightInd w:val="0"/>
              <w:jc w:val="center"/>
              <w:rPr>
                <w:rFonts w:ascii="Times New Roman" w:eastAsia="Times New Roman" w:hAnsi="Times New Roman" w:cs="Times New Roman"/>
                <w:sz w:val="24"/>
                <w:szCs w:val="24"/>
                <w:lang w:eastAsia="ru-RU"/>
              </w:rPr>
            </w:pPr>
          </w:p>
          <w:p w:rsidR="00FC29C6" w:rsidRDefault="00FC29C6" w:rsidP="00FC4BFF">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Добыча и утилизация попутного неф</w:t>
            </w:r>
            <w:r w:rsidR="00FC4BFF">
              <w:rPr>
                <w:rFonts w:ascii="Times New Roman" w:eastAsia="Times New Roman" w:hAnsi="Times New Roman" w:cs="Times New Roman"/>
                <w:sz w:val="24"/>
                <w:szCs w:val="24"/>
                <w:lang w:eastAsia="ru-RU"/>
              </w:rPr>
              <w:t xml:space="preserve">тяного газа по малым компаниям </w:t>
            </w:r>
            <w:r w:rsidRPr="00D423B2">
              <w:rPr>
                <w:rFonts w:ascii="Times New Roman" w:eastAsia="Times New Roman" w:hAnsi="Times New Roman" w:cs="Times New Roman"/>
                <w:sz w:val="24"/>
                <w:szCs w:val="24"/>
                <w:lang w:eastAsia="ru-RU"/>
              </w:rPr>
              <w:t>Республики Татарстан</w:t>
            </w:r>
          </w:p>
          <w:p w:rsidR="00D962E8" w:rsidRPr="00D423B2" w:rsidRDefault="00D962E8" w:rsidP="00FC4BFF">
            <w:pPr>
              <w:autoSpaceDE w:val="0"/>
              <w:autoSpaceDN w:val="0"/>
              <w:adjustRightInd w:val="0"/>
              <w:jc w:val="center"/>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168"/>
              <w:gridCol w:w="570"/>
              <w:gridCol w:w="570"/>
              <w:gridCol w:w="570"/>
              <w:gridCol w:w="570"/>
              <w:gridCol w:w="570"/>
            </w:tblGrid>
            <w:tr w:rsidR="00D962E8" w:rsidRPr="00EE54D2" w:rsidTr="00062936">
              <w:tc>
                <w:tcPr>
                  <w:tcW w:w="2158" w:type="pct"/>
                </w:tcPr>
                <w:p w:rsidR="00D962E8" w:rsidRPr="00D962E8" w:rsidRDefault="00D962E8" w:rsidP="00D962E8">
                  <w:pPr>
                    <w:pStyle w:val="ConsPlusNormal"/>
                    <w:spacing w:before="60" w:after="60"/>
                    <w:jc w:val="both"/>
                    <w:rPr>
                      <w:rFonts w:ascii="Times New Roman" w:hAnsi="Times New Roman" w:cs="Times New Roman"/>
                      <w:sz w:val="16"/>
                      <w:szCs w:val="16"/>
                    </w:rPr>
                  </w:pPr>
                  <w:r w:rsidRPr="00D962E8">
                    <w:rPr>
                      <w:rFonts w:ascii="Times New Roman" w:hAnsi="Times New Roman" w:cs="Times New Roman"/>
                      <w:sz w:val="16"/>
                      <w:szCs w:val="16"/>
                    </w:rPr>
                    <w:lastRenderedPageBreak/>
                    <w:t>Наименование показателя / годы</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2014</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2015</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2016</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2017</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2018</w:t>
                  </w:r>
                </w:p>
              </w:tc>
            </w:tr>
            <w:tr w:rsidR="00D962E8" w:rsidRPr="00EE54D2" w:rsidTr="00062936">
              <w:tc>
                <w:tcPr>
                  <w:tcW w:w="2158" w:type="pct"/>
                </w:tcPr>
                <w:p w:rsidR="00D962E8" w:rsidRPr="00D962E8" w:rsidRDefault="00D962E8" w:rsidP="00D962E8">
                  <w:pPr>
                    <w:pStyle w:val="ConsPlusNormal"/>
                    <w:spacing w:before="60" w:after="60"/>
                    <w:jc w:val="both"/>
                    <w:rPr>
                      <w:rFonts w:ascii="Times New Roman" w:hAnsi="Times New Roman" w:cs="Times New Roman"/>
                      <w:sz w:val="16"/>
                      <w:szCs w:val="16"/>
                    </w:rPr>
                  </w:pPr>
                  <w:r w:rsidRPr="00D962E8">
                    <w:rPr>
                      <w:rFonts w:ascii="Times New Roman" w:hAnsi="Times New Roman" w:cs="Times New Roman"/>
                      <w:sz w:val="16"/>
                      <w:szCs w:val="16"/>
                    </w:rPr>
                    <w:t>Добыча попутного газа, млн куб. метров</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75</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83</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87</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86</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81</w:t>
                  </w:r>
                </w:p>
              </w:tc>
            </w:tr>
            <w:tr w:rsidR="00D962E8" w:rsidRPr="00EE54D2" w:rsidTr="00062936">
              <w:tc>
                <w:tcPr>
                  <w:tcW w:w="2158" w:type="pct"/>
                </w:tcPr>
                <w:p w:rsidR="00D962E8" w:rsidRPr="00D962E8" w:rsidRDefault="00D962E8" w:rsidP="00D962E8">
                  <w:pPr>
                    <w:pStyle w:val="ConsPlusNormal"/>
                    <w:spacing w:before="60" w:after="60"/>
                    <w:jc w:val="both"/>
                    <w:rPr>
                      <w:rFonts w:ascii="Times New Roman" w:hAnsi="Times New Roman" w:cs="Times New Roman"/>
                      <w:sz w:val="16"/>
                      <w:szCs w:val="16"/>
                    </w:rPr>
                  </w:pPr>
                  <w:r w:rsidRPr="00D962E8">
                    <w:rPr>
                      <w:rFonts w:ascii="Times New Roman" w:hAnsi="Times New Roman" w:cs="Times New Roman"/>
                      <w:sz w:val="16"/>
                      <w:szCs w:val="16"/>
                    </w:rPr>
                    <w:t>Прием на переработку, млн куб. метров</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70</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79</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79</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80,1</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74,9</w:t>
                  </w:r>
                </w:p>
              </w:tc>
            </w:tr>
            <w:tr w:rsidR="00D962E8" w:rsidRPr="00EE54D2" w:rsidTr="00062936">
              <w:tc>
                <w:tcPr>
                  <w:tcW w:w="2158" w:type="pct"/>
                </w:tcPr>
                <w:p w:rsidR="00D962E8" w:rsidRPr="00D962E8" w:rsidRDefault="00D962E8" w:rsidP="00D962E8">
                  <w:pPr>
                    <w:pStyle w:val="ConsPlusNormal"/>
                    <w:spacing w:before="60" w:after="60"/>
                    <w:jc w:val="both"/>
                    <w:rPr>
                      <w:rFonts w:ascii="Times New Roman" w:hAnsi="Times New Roman" w:cs="Times New Roman"/>
                      <w:sz w:val="16"/>
                      <w:szCs w:val="16"/>
                    </w:rPr>
                  </w:pPr>
                  <w:r w:rsidRPr="00D962E8">
                    <w:rPr>
                      <w:rFonts w:ascii="Times New Roman" w:hAnsi="Times New Roman" w:cs="Times New Roman"/>
                      <w:sz w:val="16"/>
                      <w:szCs w:val="16"/>
                    </w:rPr>
                    <w:t>Степень утилизации, %</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93</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95</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91</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93</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93</w:t>
                  </w:r>
                </w:p>
              </w:tc>
            </w:tr>
          </w:tbl>
          <w:p w:rsidR="00FC29C6" w:rsidRPr="00D423B2" w:rsidRDefault="00FC29C6" w:rsidP="00FC29C6">
            <w:pPr>
              <w:autoSpaceDE w:val="0"/>
              <w:autoSpaceDN w:val="0"/>
              <w:adjustRightInd w:val="0"/>
              <w:jc w:val="both"/>
              <w:rPr>
                <w:rFonts w:ascii="Times New Roman" w:eastAsia="Times New Roman" w:hAnsi="Times New Roman" w:cs="Times New Roman"/>
                <w:sz w:val="24"/>
                <w:szCs w:val="24"/>
                <w:lang w:eastAsia="ru-RU"/>
              </w:rPr>
            </w:pPr>
          </w:p>
          <w:p w:rsidR="00FC29C6" w:rsidRPr="00D423B2" w:rsidRDefault="00FC29C6" w:rsidP="000215E2">
            <w:pPr>
              <w:jc w:val="center"/>
              <w:rPr>
                <w:rFonts w:ascii="Times New Roman" w:hAnsi="Times New Roman" w:cs="Times New Roman"/>
                <w:sz w:val="24"/>
                <w:szCs w:val="24"/>
              </w:rPr>
            </w:pPr>
          </w:p>
          <w:p w:rsidR="00047326" w:rsidRPr="00D423B2" w:rsidRDefault="00047326" w:rsidP="00047326">
            <w:pPr>
              <w:jc w:val="center"/>
              <w:rPr>
                <w:rFonts w:ascii="Times New Roman" w:hAnsi="Times New Roman" w:cs="Times New Roman"/>
                <w:b/>
                <w:sz w:val="24"/>
                <w:szCs w:val="24"/>
              </w:rPr>
            </w:pPr>
            <w:r w:rsidRPr="00D423B2">
              <w:rPr>
                <w:rFonts w:ascii="Times New Roman" w:hAnsi="Times New Roman" w:cs="Times New Roman"/>
                <w:b/>
                <w:sz w:val="24"/>
                <w:szCs w:val="24"/>
              </w:rPr>
              <w:t>3.2. Современное состояние минерально-сырьевой базы углеводородов Республики Татарстан</w:t>
            </w:r>
          </w:p>
          <w:p w:rsidR="00831BBB" w:rsidRPr="00D423B2" w:rsidRDefault="00831BBB" w:rsidP="00047326">
            <w:pPr>
              <w:jc w:val="center"/>
              <w:rPr>
                <w:rFonts w:ascii="Times New Roman" w:hAnsi="Times New Roman" w:cs="Times New Roman"/>
                <w:b/>
                <w:sz w:val="24"/>
                <w:szCs w:val="24"/>
              </w:rPr>
            </w:pPr>
          </w:p>
          <w:p w:rsidR="00C34677" w:rsidRPr="00C34677" w:rsidRDefault="00C34677" w:rsidP="00C34677">
            <w:pPr>
              <w:autoSpaceDE w:val="0"/>
              <w:autoSpaceDN w:val="0"/>
              <w:adjustRightInd w:val="0"/>
              <w:ind w:firstLine="709"/>
              <w:jc w:val="both"/>
              <w:rPr>
                <w:rFonts w:ascii="Times New Roman" w:eastAsia="Times New Roman" w:hAnsi="Times New Roman" w:cs="Times New Roman"/>
                <w:sz w:val="24"/>
                <w:szCs w:val="24"/>
                <w:lang w:eastAsia="ru-RU"/>
              </w:rPr>
            </w:pPr>
            <w:r w:rsidRPr="00C34677">
              <w:rPr>
                <w:rFonts w:ascii="Times New Roman" w:eastAsia="Times New Roman" w:hAnsi="Times New Roman" w:cs="Times New Roman"/>
                <w:sz w:val="24"/>
                <w:szCs w:val="24"/>
                <w:lang w:eastAsia="ru-RU"/>
              </w:rPr>
              <w:t>В настоящее время ввиду естественного истощения и длительного срока эксплуатации основных крупных нефтяных месторождений сформировалась устойчивая тенденция ухудшения сырьевой базы нефтяной промышленности Российской Федерации. Доля активных запасов, которые обеспечивают</w:t>
            </w:r>
            <w:r w:rsidRPr="00C34677">
              <w:rPr>
                <w:rFonts w:ascii="Times New Roman" w:eastAsia="Times New Roman" w:hAnsi="Times New Roman" w:cs="Times New Roman"/>
                <w:sz w:val="24"/>
                <w:szCs w:val="24"/>
                <w:lang w:eastAsia="ru-RU"/>
              </w:rPr>
              <w:br/>
              <w:t>70 процентов всей нефтедобычи в стране, сократилась до 40 процентов. Степень их выработки увеличилась до 75 процентов. Доля трудноизвлекаемых запасов составляет 60 процентов, степень их выработки остается низкой (до 30 процентов).</w:t>
            </w:r>
          </w:p>
          <w:p w:rsidR="00C34677" w:rsidRPr="00C34677" w:rsidRDefault="00C34677" w:rsidP="00C34677">
            <w:pPr>
              <w:autoSpaceDE w:val="0"/>
              <w:autoSpaceDN w:val="0"/>
              <w:adjustRightInd w:val="0"/>
              <w:ind w:firstLine="709"/>
              <w:jc w:val="both"/>
              <w:rPr>
                <w:rFonts w:ascii="Times New Roman" w:eastAsia="Times New Roman" w:hAnsi="Times New Roman" w:cs="Times New Roman"/>
                <w:sz w:val="24"/>
                <w:szCs w:val="24"/>
                <w:lang w:eastAsia="ru-RU"/>
              </w:rPr>
            </w:pPr>
            <w:r w:rsidRPr="00C34677">
              <w:rPr>
                <w:rFonts w:ascii="Times New Roman" w:eastAsia="Times New Roman" w:hAnsi="Times New Roman" w:cs="Times New Roman"/>
                <w:sz w:val="24"/>
                <w:szCs w:val="24"/>
                <w:lang w:eastAsia="ru-RU"/>
              </w:rPr>
              <w:t>В Республике Татарстан доля трудноизвлекаемых запасов еще более существенна и составляет 84 процента. По малым нефтедобывающим компаниям доля активных запасов нефти составляет 18,2 процента, степень выработанности – около 70 процентов. Доля трудноизвлекаемых запасов составляет 81,8 процента, а степень их выработанности по МНК – 31,75 процента.</w:t>
            </w:r>
          </w:p>
          <w:p w:rsidR="00C34677" w:rsidRPr="00C34677" w:rsidRDefault="00C34677" w:rsidP="00C34677">
            <w:pPr>
              <w:autoSpaceDE w:val="0"/>
              <w:autoSpaceDN w:val="0"/>
              <w:adjustRightInd w:val="0"/>
              <w:ind w:firstLine="709"/>
              <w:jc w:val="both"/>
              <w:rPr>
                <w:rFonts w:ascii="Times New Roman" w:eastAsia="Times New Roman" w:hAnsi="Times New Roman" w:cs="Times New Roman"/>
                <w:sz w:val="24"/>
                <w:szCs w:val="24"/>
                <w:lang w:eastAsia="ru-RU"/>
              </w:rPr>
            </w:pPr>
            <w:r w:rsidRPr="00C34677">
              <w:rPr>
                <w:rFonts w:ascii="Times New Roman" w:eastAsia="Times New Roman" w:hAnsi="Times New Roman" w:cs="Times New Roman"/>
                <w:sz w:val="24"/>
                <w:szCs w:val="24"/>
                <w:lang w:eastAsia="ru-RU"/>
              </w:rPr>
              <w:lastRenderedPageBreak/>
              <w:t xml:space="preserve">В Российской Федерации с 2006 года обеспечивается расширенное воспроизводство запасов. Состояние восполнения запасов нефти в Российской Федерации приведено в </w:t>
            </w:r>
            <w:hyperlink w:anchor="P164" w:history="1">
              <w:r w:rsidRPr="00C34677">
                <w:rPr>
                  <w:rStyle w:val="a9"/>
                  <w:rFonts w:ascii="Times New Roman" w:eastAsia="Times New Roman" w:hAnsi="Times New Roman" w:cs="Times New Roman"/>
                  <w:color w:val="000000" w:themeColor="text1"/>
                  <w:sz w:val="24"/>
                  <w:szCs w:val="24"/>
                  <w:u w:val="none"/>
                  <w:lang w:eastAsia="ru-RU"/>
                </w:rPr>
                <w:t xml:space="preserve">таблице </w:t>
              </w:r>
            </w:hyperlink>
            <w:r w:rsidRPr="00C34677">
              <w:rPr>
                <w:rFonts w:ascii="Times New Roman" w:eastAsia="Times New Roman" w:hAnsi="Times New Roman" w:cs="Times New Roman"/>
                <w:color w:val="000000" w:themeColor="text1"/>
                <w:sz w:val="24"/>
                <w:szCs w:val="24"/>
                <w:lang w:eastAsia="ru-RU"/>
              </w:rPr>
              <w:t>3.</w:t>
            </w:r>
          </w:p>
          <w:p w:rsidR="00831BBB" w:rsidRPr="00D423B2" w:rsidRDefault="00831BBB" w:rsidP="00831BBB">
            <w:pPr>
              <w:autoSpaceDE w:val="0"/>
              <w:autoSpaceDN w:val="0"/>
              <w:adjustRightInd w:val="0"/>
              <w:jc w:val="right"/>
              <w:outlineLvl w:val="3"/>
              <w:rPr>
                <w:rFonts w:ascii="Times New Roman" w:eastAsia="Times New Roman" w:hAnsi="Times New Roman" w:cs="Times New Roman"/>
                <w:sz w:val="24"/>
                <w:szCs w:val="24"/>
                <w:lang w:eastAsia="ru-RU"/>
              </w:rPr>
            </w:pPr>
          </w:p>
          <w:p w:rsidR="00831BBB" w:rsidRPr="00D423B2" w:rsidRDefault="002A0C6A" w:rsidP="007515F2">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831BBB" w:rsidRPr="00D423B2">
              <w:rPr>
                <w:rFonts w:ascii="Times New Roman" w:eastAsia="Times New Roman" w:hAnsi="Times New Roman" w:cs="Times New Roman"/>
                <w:sz w:val="24"/>
                <w:szCs w:val="24"/>
                <w:lang w:eastAsia="ru-RU"/>
              </w:rPr>
              <w:t xml:space="preserve"> 3</w:t>
            </w:r>
            <w:bookmarkStart w:id="1" w:name="P164"/>
            <w:bookmarkEnd w:id="1"/>
          </w:p>
          <w:p w:rsidR="002A0C6A" w:rsidRDefault="002A0C6A" w:rsidP="000577DF">
            <w:pPr>
              <w:autoSpaceDE w:val="0"/>
              <w:autoSpaceDN w:val="0"/>
              <w:adjustRightInd w:val="0"/>
              <w:jc w:val="center"/>
              <w:rPr>
                <w:rFonts w:ascii="Times New Roman" w:eastAsia="Times New Roman" w:hAnsi="Times New Roman" w:cs="Times New Roman"/>
                <w:sz w:val="24"/>
                <w:szCs w:val="24"/>
                <w:lang w:eastAsia="ru-RU"/>
              </w:rPr>
            </w:pPr>
          </w:p>
          <w:p w:rsidR="000577DF" w:rsidRPr="000577DF" w:rsidRDefault="000577DF" w:rsidP="000577DF">
            <w:pPr>
              <w:autoSpaceDE w:val="0"/>
              <w:autoSpaceDN w:val="0"/>
              <w:adjustRightInd w:val="0"/>
              <w:jc w:val="center"/>
              <w:rPr>
                <w:rFonts w:ascii="Times New Roman" w:eastAsia="Times New Roman" w:hAnsi="Times New Roman" w:cs="Times New Roman"/>
                <w:sz w:val="24"/>
                <w:szCs w:val="24"/>
                <w:lang w:eastAsia="ru-RU"/>
              </w:rPr>
            </w:pPr>
            <w:r w:rsidRPr="000577DF">
              <w:rPr>
                <w:rFonts w:ascii="Times New Roman" w:eastAsia="Times New Roman" w:hAnsi="Times New Roman" w:cs="Times New Roman"/>
                <w:sz w:val="24"/>
                <w:szCs w:val="24"/>
                <w:lang w:eastAsia="ru-RU"/>
              </w:rPr>
              <w:t>Состояние воспроизводства запасов нефти</w:t>
            </w:r>
          </w:p>
          <w:p w:rsidR="000577DF" w:rsidRPr="000577DF" w:rsidRDefault="000577DF" w:rsidP="000577DF">
            <w:pPr>
              <w:autoSpaceDE w:val="0"/>
              <w:autoSpaceDN w:val="0"/>
              <w:adjustRightInd w:val="0"/>
              <w:jc w:val="center"/>
              <w:rPr>
                <w:rFonts w:ascii="Times New Roman" w:eastAsia="Times New Roman" w:hAnsi="Times New Roman" w:cs="Times New Roman"/>
                <w:sz w:val="24"/>
                <w:szCs w:val="24"/>
                <w:lang w:eastAsia="ru-RU"/>
              </w:rPr>
            </w:pPr>
            <w:r w:rsidRPr="000577DF">
              <w:rPr>
                <w:rFonts w:ascii="Times New Roman" w:eastAsia="Times New Roman" w:hAnsi="Times New Roman" w:cs="Times New Roman"/>
                <w:sz w:val="24"/>
                <w:szCs w:val="24"/>
                <w:lang w:eastAsia="ru-RU"/>
              </w:rPr>
              <w:t>в Российской Федерации за 2012 – 2018 годы</w:t>
            </w:r>
          </w:p>
          <w:p w:rsidR="00831BBB" w:rsidRPr="00D423B2" w:rsidRDefault="00831BBB" w:rsidP="00047326">
            <w:pPr>
              <w:jc w:val="center"/>
              <w:rPr>
                <w:rFonts w:ascii="Times New Roman" w:hAnsi="Times New Roman" w:cs="Times New Roman"/>
                <w:b/>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1752"/>
              <w:gridCol w:w="459"/>
              <w:gridCol w:w="459"/>
              <w:gridCol w:w="459"/>
              <w:gridCol w:w="459"/>
              <w:gridCol w:w="459"/>
              <w:gridCol w:w="460"/>
              <w:gridCol w:w="511"/>
            </w:tblGrid>
            <w:tr w:rsidR="00343C30" w:rsidRPr="00EE54D2" w:rsidTr="00062936">
              <w:trPr>
                <w:jc w:val="center"/>
              </w:trPr>
              <w:tc>
                <w:tcPr>
                  <w:tcW w:w="1746"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Наименование показателя / годы</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2012</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2013</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2014</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2015</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2016</w:t>
                  </w:r>
                </w:p>
              </w:tc>
              <w:tc>
                <w:tcPr>
                  <w:tcW w:w="458"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2017</w:t>
                  </w:r>
                </w:p>
              </w:tc>
              <w:tc>
                <w:tcPr>
                  <w:tcW w:w="509"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2018</w:t>
                  </w:r>
                </w:p>
              </w:tc>
            </w:tr>
            <w:tr w:rsidR="00343C30" w:rsidRPr="00EE54D2" w:rsidTr="00062936">
              <w:trPr>
                <w:jc w:val="center"/>
              </w:trPr>
              <w:tc>
                <w:tcPr>
                  <w:tcW w:w="1746"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Прирост запасов нефти, млн тонн</w:t>
                  </w:r>
                </w:p>
              </w:tc>
              <w:tc>
                <w:tcPr>
                  <w:tcW w:w="457"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588,4</w:t>
                  </w:r>
                </w:p>
              </w:tc>
              <w:tc>
                <w:tcPr>
                  <w:tcW w:w="457"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581,9</w:t>
                  </w:r>
                </w:p>
              </w:tc>
              <w:tc>
                <w:tcPr>
                  <w:tcW w:w="457"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587,9</w:t>
                  </w:r>
                </w:p>
              </w:tc>
              <w:tc>
                <w:tcPr>
                  <w:tcW w:w="457"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571,4</w:t>
                  </w:r>
                </w:p>
              </w:tc>
              <w:tc>
                <w:tcPr>
                  <w:tcW w:w="457"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503,7</w:t>
                  </w:r>
                </w:p>
              </w:tc>
              <w:tc>
                <w:tcPr>
                  <w:tcW w:w="458"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499,3</w:t>
                  </w:r>
                </w:p>
              </w:tc>
              <w:tc>
                <w:tcPr>
                  <w:tcW w:w="509" w:type="pct"/>
                  <w:vAlign w:val="center"/>
                </w:tcPr>
                <w:p w:rsidR="00343C30" w:rsidRPr="00343C30" w:rsidRDefault="00343C30" w:rsidP="00343C30">
                  <w:pPr>
                    <w:pStyle w:val="ConsPlusNormal"/>
                    <w:spacing w:before="60" w:after="60"/>
                    <w:ind w:left="-14" w:right="-2"/>
                    <w:jc w:val="center"/>
                    <w:rPr>
                      <w:rFonts w:ascii="Times New Roman" w:hAnsi="Times New Roman" w:cs="Times New Roman"/>
                      <w:sz w:val="16"/>
                      <w:szCs w:val="16"/>
                    </w:rPr>
                  </w:pPr>
                  <w:r w:rsidRPr="00343C30">
                    <w:rPr>
                      <w:rFonts w:ascii="Times New Roman" w:hAnsi="Times New Roman" w:cs="Times New Roman"/>
                      <w:sz w:val="16"/>
                      <w:szCs w:val="16"/>
                    </w:rPr>
                    <w:t>530</w:t>
                  </w:r>
                </w:p>
                <w:p w:rsidR="00343C30" w:rsidRPr="00343C30" w:rsidRDefault="00343C30" w:rsidP="00343C30">
                  <w:pPr>
                    <w:pStyle w:val="ConsPlusNormal"/>
                    <w:spacing w:before="60" w:after="60"/>
                    <w:ind w:left="-14" w:right="-2"/>
                    <w:jc w:val="center"/>
                    <w:rPr>
                      <w:rFonts w:ascii="Times New Roman" w:hAnsi="Times New Roman" w:cs="Times New Roman"/>
                      <w:sz w:val="16"/>
                      <w:szCs w:val="16"/>
                    </w:rPr>
                  </w:pPr>
                  <w:r w:rsidRPr="00343C30">
                    <w:rPr>
                      <w:rFonts w:ascii="Times New Roman" w:hAnsi="Times New Roman" w:cs="Times New Roman"/>
                      <w:sz w:val="16"/>
                      <w:szCs w:val="16"/>
                    </w:rPr>
                    <w:t>(оценка)</w:t>
                  </w:r>
                </w:p>
              </w:tc>
            </w:tr>
            <w:tr w:rsidR="00343C30" w:rsidRPr="00EE54D2" w:rsidTr="00062936">
              <w:trPr>
                <w:jc w:val="center"/>
              </w:trPr>
              <w:tc>
                <w:tcPr>
                  <w:tcW w:w="1746" w:type="pct"/>
                </w:tcPr>
                <w:p w:rsidR="00343C30" w:rsidRPr="00343C30" w:rsidRDefault="00343C30" w:rsidP="00343C30">
                  <w:pPr>
                    <w:pStyle w:val="ConsPlusNormal"/>
                    <w:spacing w:before="60" w:after="60"/>
                    <w:rPr>
                      <w:rFonts w:ascii="Times New Roman" w:hAnsi="Times New Roman" w:cs="Times New Roman"/>
                      <w:sz w:val="16"/>
                      <w:szCs w:val="16"/>
                    </w:rPr>
                  </w:pPr>
                  <w:r w:rsidRPr="00343C30">
                    <w:rPr>
                      <w:rFonts w:ascii="Times New Roman" w:hAnsi="Times New Roman" w:cs="Times New Roman"/>
                      <w:sz w:val="16"/>
                      <w:szCs w:val="16"/>
                    </w:rPr>
                    <w:t>Добыча нефти, млн тонн</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518,0</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523,4</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526,7</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533,6</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547,3</w:t>
                  </w:r>
                </w:p>
              </w:tc>
              <w:tc>
                <w:tcPr>
                  <w:tcW w:w="458"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546,7</w:t>
                  </w:r>
                </w:p>
              </w:tc>
              <w:tc>
                <w:tcPr>
                  <w:tcW w:w="509"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555,8</w:t>
                  </w:r>
                </w:p>
              </w:tc>
            </w:tr>
            <w:tr w:rsidR="00343C30" w:rsidRPr="00EE54D2" w:rsidTr="00062936">
              <w:trPr>
                <w:jc w:val="center"/>
              </w:trPr>
              <w:tc>
                <w:tcPr>
                  <w:tcW w:w="1746" w:type="pct"/>
                </w:tcPr>
                <w:p w:rsidR="00343C30" w:rsidRPr="00343C30" w:rsidRDefault="00343C30" w:rsidP="00343C30">
                  <w:pPr>
                    <w:pStyle w:val="ConsPlusNormal"/>
                    <w:spacing w:before="60" w:after="60"/>
                    <w:rPr>
                      <w:rFonts w:ascii="Times New Roman" w:hAnsi="Times New Roman" w:cs="Times New Roman"/>
                      <w:sz w:val="16"/>
                      <w:szCs w:val="16"/>
                    </w:rPr>
                  </w:pPr>
                  <w:r w:rsidRPr="00343C30">
                    <w:rPr>
                      <w:rFonts w:ascii="Times New Roman" w:hAnsi="Times New Roman" w:cs="Times New Roman"/>
                      <w:sz w:val="16"/>
                      <w:szCs w:val="16"/>
                    </w:rPr>
                    <w:t>Воспроизводство минерально-сырьевой базы, %</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113</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111</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111</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107</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92</w:t>
                  </w:r>
                </w:p>
              </w:tc>
              <w:tc>
                <w:tcPr>
                  <w:tcW w:w="458"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91</w:t>
                  </w:r>
                </w:p>
              </w:tc>
              <w:tc>
                <w:tcPr>
                  <w:tcW w:w="509"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95</w:t>
                  </w:r>
                </w:p>
              </w:tc>
            </w:tr>
          </w:tbl>
          <w:p w:rsidR="0028505F" w:rsidRPr="00D423B2" w:rsidRDefault="0028505F" w:rsidP="00047326">
            <w:pPr>
              <w:jc w:val="center"/>
              <w:rPr>
                <w:rFonts w:ascii="Times New Roman" w:hAnsi="Times New Roman" w:cs="Times New Roman"/>
                <w:b/>
                <w:sz w:val="24"/>
                <w:szCs w:val="24"/>
              </w:rPr>
            </w:pPr>
          </w:p>
          <w:p w:rsidR="003C6F1A" w:rsidRPr="003C6F1A" w:rsidRDefault="003C6F1A" w:rsidP="003C6F1A">
            <w:pPr>
              <w:autoSpaceDE w:val="0"/>
              <w:autoSpaceDN w:val="0"/>
              <w:adjustRightInd w:val="0"/>
              <w:ind w:firstLine="709"/>
              <w:jc w:val="both"/>
              <w:rPr>
                <w:rFonts w:ascii="Times New Roman" w:eastAsia="Times New Roman" w:hAnsi="Times New Roman" w:cs="Times New Roman"/>
                <w:sz w:val="24"/>
                <w:szCs w:val="24"/>
                <w:lang w:eastAsia="ru-RU"/>
              </w:rPr>
            </w:pPr>
            <w:r w:rsidRPr="003C6F1A">
              <w:rPr>
                <w:rFonts w:ascii="Times New Roman" w:eastAsia="Times New Roman" w:hAnsi="Times New Roman" w:cs="Times New Roman"/>
                <w:sz w:val="24"/>
                <w:szCs w:val="24"/>
                <w:lang w:eastAsia="ru-RU"/>
              </w:rPr>
              <w:t>С 2010 года добыча нефти в Российской Федерации выросла на 10 процентов и в 2018 году составила 555,8 млн тонн (при этом максимальный среднесуточный уровень нефтедобычи превысил уровень, достигнутый в СССР).</w:t>
            </w:r>
          </w:p>
          <w:p w:rsidR="003C6F1A" w:rsidRPr="003C6F1A" w:rsidRDefault="003C6F1A" w:rsidP="003C6F1A">
            <w:pPr>
              <w:autoSpaceDE w:val="0"/>
              <w:autoSpaceDN w:val="0"/>
              <w:adjustRightInd w:val="0"/>
              <w:ind w:firstLine="709"/>
              <w:jc w:val="both"/>
              <w:rPr>
                <w:rFonts w:ascii="Times New Roman" w:eastAsia="Times New Roman" w:hAnsi="Times New Roman" w:cs="Times New Roman"/>
                <w:sz w:val="24"/>
                <w:szCs w:val="24"/>
                <w:lang w:eastAsia="ru-RU"/>
              </w:rPr>
            </w:pPr>
            <w:r w:rsidRPr="003C6F1A">
              <w:rPr>
                <w:rFonts w:ascii="Times New Roman" w:eastAsia="Times New Roman" w:hAnsi="Times New Roman" w:cs="Times New Roman"/>
                <w:sz w:val="24"/>
                <w:szCs w:val="24"/>
                <w:lang w:eastAsia="ru-RU"/>
              </w:rPr>
              <w:t>Резервом дальнейшего развития нефтедобычи в стране, восполнения сырьевой базы нефти и газа является увеличение масштабов внедрения методов увеличения нефтеотдачи (далее – МУН) и вовлечение в разработку запасов высоковязкой нефти (далее – ВВН), сверхвысоковязкой нефти (далее – СВН), а также запасов в слабопроницаемых коллекторах.</w:t>
            </w:r>
          </w:p>
          <w:p w:rsidR="003C6F1A" w:rsidRPr="003C6F1A" w:rsidRDefault="003C6F1A" w:rsidP="003C6F1A">
            <w:pPr>
              <w:autoSpaceDE w:val="0"/>
              <w:autoSpaceDN w:val="0"/>
              <w:adjustRightInd w:val="0"/>
              <w:ind w:firstLine="709"/>
              <w:jc w:val="both"/>
              <w:rPr>
                <w:rFonts w:ascii="Times New Roman" w:eastAsia="Times New Roman" w:hAnsi="Times New Roman" w:cs="Times New Roman"/>
                <w:sz w:val="24"/>
                <w:szCs w:val="24"/>
                <w:lang w:eastAsia="ru-RU"/>
              </w:rPr>
            </w:pPr>
            <w:r w:rsidRPr="003C6F1A">
              <w:rPr>
                <w:rFonts w:ascii="Times New Roman" w:eastAsia="Times New Roman" w:hAnsi="Times New Roman" w:cs="Times New Roman"/>
                <w:sz w:val="24"/>
                <w:szCs w:val="24"/>
                <w:lang w:eastAsia="ru-RU"/>
              </w:rPr>
              <w:lastRenderedPageBreak/>
              <w:t>Повышение степени КИН в отечественной нефтяной промышленности рассматривается в качестве главного источника поддержания уровня добычи в России.</w:t>
            </w:r>
          </w:p>
          <w:p w:rsidR="003C6F1A" w:rsidRPr="003C6F1A" w:rsidRDefault="003C6F1A" w:rsidP="003C6F1A">
            <w:pPr>
              <w:autoSpaceDE w:val="0"/>
              <w:autoSpaceDN w:val="0"/>
              <w:adjustRightInd w:val="0"/>
              <w:ind w:firstLine="709"/>
              <w:jc w:val="both"/>
              <w:rPr>
                <w:rFonts w:ascii="Times New Roman" w:eastAsia="Times New Roman" w:hAnsi="Times New Roman" w:cs="Times New Roman"/>
                <w:sz w:val="24"/>
                <w:szCs w:val="24"/>
                <w:lang w:eastAsia="ru-RU"/>
              </w:rPr>
            </w:pPr>
            <w:r w:rsidRPr="003C6F1A">
              <w:rPr>
                <w:rFonts w:ascii="Times New Roman" w:eastAsia="Times New Roman" w:hAnsi="Times New Roman" w:cs="Times New Roman"/>
                <w:sz w:val="24"/>
                <w:szCs w:val="24"/>
                <w:lang w:eastAsia="ru-RU"/>
              </w:rPr>
              <w:t>В Республике Татарстан в 2018 году по терригенным объектам разработки на месторождениях ПАО «Татнефть» коэффициент извлечения нефти (далее – КИН) достиг показателя 0,49.</w:t>
            </w:r>
          </w:p>
          <w:p w:rsidR="00F079E9" w:rsidRPr="00D423B2" w:rsidRDefault="00F079E9" w:rsidP="005C30CB">
            <w:pPr>
              <w:autoSpaceDE w:val="0"/>
              <w:autoSpaceDN w:val="0"/>
              <w:adjustRightInd w:val="0"/>
              <w:ind w:firstLine="709"/>
              <w:jc w:val="both"/>
              <w:rPr>
                <w:rFonts w:ascii="TimesNewRomanPSMT" w:eastAsia="Times New Roman" w:hAnsi="TimesNewRomanPSMT" w:cs="TimesNewRomanPSMT"/>
                <w:sz w:val="24"/>
                <w:szCs w:val="24"/>
                <w:lang w:eastAsia="ru-RU"/>
              </w:rPr>
            </w:pPr>
          </w:p>
          <w:p w:rsidR="005C30CB" w:rsidRPr="00D423B2" w:rsidRDefault="00F079E9" w:rsidP="00047326">
            <w:pPr>
              <w:jc w:val="center"/>
              <w:rPr>
                <w:rFonts w:ascii="Times New Roman" w:hAnsi="Times New Roman" w:cs="Times New Roman"/>
                <w:b/>
                <w:sz w:val="24"/>
                <w:szCs w:val="24"/>
              </w:rPr>
            </w:pPr>
            <w:r w:rsidRPr="00D423B2">
              <w:rPr>
                <w:rFonts w:ascii="Times New Roman" w:hAnsi="Times New Roman" w:cs="Times New Roman"/>
                <w:b/>
                <w:noProof/>
                <w:sz w:val="24"/>
                <w:szCs w:val="24"/>
                <w:lang w:eastAsia="ru-RU"/>
              </w:rPr>
              <w:drawing>
                <wp:inline distT="0" distB="0" distL="0" distR="0" wp14:anchorId="21F82D91" wp14:editId="48F8DF0E">
                  <wp:extent cx="2590165" cy="1201986"/>
                  <wp:effectExtent l="0" t="0" r="63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27061" cy="1219108"/>
                          </a:xfrm>
                          <a:prstGeom prst="rect">
                            <a:avLst/>
                          </a:prstGeom>
                          <a:noFill/>
                        </pic:spPr>
                      </pic:pic>
                    </a:graphicData>
                  </a:graphic>
                </wp:inline>
              </w:drawing>
            </w:r>
          </w:p>
          <w:p w:rsidR="00913BFC" w:rsidRPr="00D423B2" w:rsidRDefault="00913BFC" w:rsidP="00913BFC">
            <w:pPr>
              <w:autoSpaceDE w:val="0"/>
              <w:autoSpaceDN w:val="0"/>
              <w:adjustRightInd w:val="0"/>
              <w:ind w:firstLine="540"/>
              <w:jc w:val="center"/>
              <w:rPr>
                <w:rFonts w:ascii="Times New Roman" w:eastAsia="Times New Roman" w:hAnsi="Times New Roman" w:cs="Times New Roman"/>
                <w:sz w:val="24"/>
                <w:szCs w:val="24"/>
                <w:lang w:eastAsia="ru-RU"/>
              </w:rPr>
            </w:pPr>
          </w:p>
          <w:p w:rsidR="00833F34" w:rsidRPr="00833F34" w:rsidRDefault="00833F34" w:rsidP="00833F34">
            <w:pPr>
              <w:autoSpaceDE w:val="0"/>
              <w:autoSpaceDN w:val="0"/>
              <w:adjustRightInd w:val="0"/>
              <w:ind w:firstLine="540"/>
              <w:jc w:val="center"/>
              <w:rPr>
                <w:rFonts w:ascii="Times New Roman" w:eastAsia="Times New Roman" w:hAnsi="Times New Roman" w:cs="Times New Roman"/>
                <w:sz w:val="16"/>
                <w:szCs w:val="16"/>
                <w:lang w:eastAsia="ru-RU"/>
              </w:rPr>
            </w:pPr>
            <w:r w:rsidRPr="00833F34">
              <w:rPr>
                <w:rFonts w:ascii="Times New Roman" w:eastAsia="Times New Roman" w:hAnsi="Times New Roman" w:cs="Times New Roman"/>
                <w:sz w:val="16"/>
                <w:szCs w:val="16"/>
                <w:lang w:eastAsia="ru-RU"/>
              </w:rPr>
              <w:t>Рис. 2. Значения коэффициентов извлечения нефти (текущий и конечный/проектный) для различных типов коллекторов ПАО «Татнефть» по состоянию на 1 января 2018 года</w:t>
            </w:r>
          </w:p>
          <w:p w:rsidR="00913BFC" w:rsidRPr="00D423B2" w:rsidRDefault="00913BFC" w:rsidP="00047326">
            <w:pPr>
              <w:jc w:val="center"/>
              <w:rPr>
                <w:rFonts w:ascii="Times New Roman" w:hAnsi="Times New Roman" w:cs="Times New Roman"/>
                <w:b/>
                <w:sz w:val="24"/>
                <w:szCs w:val="24"/>
              </w:rPr>
            </w:pP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По месторождениям малых нефтедобывающих компаний текущий КИН составляет 0,096 при проектных КИН 0,303.</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bookmarkStart w:id="2" w:name="P270"/>
            <w:bookmarkEnd w:id="2"/>
            <w:r w:rsidRPr="00641F0C">
              <w:rPr>
                <w:rFonts w:ascii="TimesNewRomanPSMT" w:eastAsia="Times New Roman" w:hAnsi="TimesNewRomanPSMT" w:cs="TimesNewRomanPSMT"/>
                <w:sz w:val="24"/>
                <w:szCs w:val="24"/>
                <w:lang w:eastAsia="ru-RU"/>
              </w:rPr>
              <w:t>Причинами снижения КИН являются:</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неадекватный реальному геологическому строению подбор технологий разработки и методов увеличения нефтеотдачи пластов;</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разбалансирование систем разработки за счет вывода из эксплуатации огромного (до 50 процентов и более) эксплуатационного фонда скважин в некоторых нефтяных компаниях;</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 xml:space="preserve">опережающая выработка наиболее продуктивных пластов в целях получения </w:t>
            </w:r>
            <w:r w:rsidRPr="00641F0C">
              <w:rPr>
                <w:rFonts w:ascii="TimesNewRomanPSMT" w:eastAsia="Times New Roman" w:hAnsi="TimesNewRomanPSMT" w:cs="TimesNewRomanPSMT"/>
                <w:sz w:val="24"/>
                <w:szCs w:val="24"/>
                <w:lang w:eastAsia="ru-RU"/>
              </w:rPr>
              <w:lastRenderedPageBreak/>
              <w:t>максимальной прибыли при наименьших затратах;</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резкое сокращение применения МУН пластов и поиска новых эффективных технологий увеличения КИН;</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отсутствие мер налогового стимулирования;</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капиталоемкие проекты, направленные на увеличение коэффициента охвата залежей и интенсификацию отборов.</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В современных условиях все более актуальным становится не абсолютный рост добычи, а экономика ее добычи, обеспечение углубленного передела углеводородного сырья внутри страны на предприятиях нефтепереработки и нефтехимии.</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В Республике Татарстан по состоянию на 1 января 2019 года в Государственном балансе запасов по компании ПАО «Татнефть» учтены</w:t>
            </w:r>
            <w:r w:rsidRPr="00641F0C">
              <w:rPr>
                <w:rFonts w:ascii="TimesNewRomanPSMT" w:eastAsia="Times New Roman" w:hAnsi="TimesNewRomanPSMT" w:cs="TimesNewRomanPSMT"/>
                <w:sz w:val="24"/>
                <w:szCs w:val="24"/>
                <w:lang w:eastAsia="ru-RU"/>
              </w:rPr>
              <w:br/>
              <w:t>105 нефтяных месторождений с суммарными извлекаемыми запасами нефти категории А+В1+С1+В2+С2 в размере 758,065 млн тонн. Объем предварительно оцененных запасов категории В2+С2 – 153,535 млн тонн, ресурсов категории</w:t>
            </w:r>
            <w:r w:rsidRPr="00641F0C">
              <w:rPr>
                <w:rFonts w:ascii="TimesNewRomanPSMT" w:eastAsia="Times New Roman" w:hAnsi="TimesNewRomanPSMT" w:cs="TimesNewRomanPSMT"/>
                <w:sz w:val="24"/>
                <w:szCs w:val="24"/>
                <w:lang w:eastAsia="ru-RU"/>
              </w:rPr>
              <w:br/>
              <w:t>Д0+Д1 – 484,883 млн тонн. Накопленная добыча нефти по республике по ПАО «Татнефть» с момента начала промышленной разработки нефтяных месторождений составила 3 154,963 млн тонн.</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 xml:space="preserve">В Республике Татарстан по состоянию на 1 января 2019 года в Государственном балансе запасов по малым компаниям учтены 114 нефтяных месторождений с суммарными текущими извлекаемыми запасами нефти </w:t>
            </w:r>
            <w:r w:rsidRPr="00641F0C">
              <w:rPr>
                <w:rFonts w:ascii="TimesNewRomanPSMT" w:eastAsia="Times New Roman" w:hAnsi="TimesNewRomanPSMT" w:cs="TimesNewRomanPSMT"/>
                <w:sz w:val="24"/>
                <w:szCs w:val="24"/>
                <w:lang w:eastAsia="ru-RU"/>
              </w:rPr>
              <w:lastRenderedPageBreak/>
              <w:t xml:space="preserve">категории А+В1+С1+В2+С2 в размере 285,245 млн тонн. Объем предварительно оцененных запасов категории В2+С2 – 31,205 млн тонн, ресурсов категории Д0+Д1 – </w:t>
            </w:r>
            <w:r w:rsidRPr="00641F0C">
              <w:rPr>
                <w:rFonts w:ascii="TimesNewRomanPSMT" w:eastAsia="Times New Roman" w:hAnsi="TimesNewRomanPSMT" w:cs="TimesNewRomanPSMT"/>
                <w:sz w:val="24"/>
                <w:szCs w:val="24"/>
                <w:lang w:eastAsia="ru-RU"/>
              </w:rPr>
              <w:br/>
              <w:t>33,155 млн тонн. Накопленная добыча нефти малыми компаниями по республике с момента начала промышленной разработки нефтяных месторождений составила 132,746 млн тонн.</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По оценке независимой компании «Миллер энд Ленц, Лтд.», по состоянию на 1 января 2019 года подтвержденный объем запасов промышленных категорий по ПАО «Татнефть» составляет 924,9 млн тонн.</w:t>
            </w:r>
          </w:p>
          <w:p w:rsidR="00024CDF" w:rsidRPr="00D423B2" w:rsidRDefault="00024CDF" w:rsidP="00653DA7">
            <w:pPr>
              <w:autoSpaceDE w:val="0"/>
              <w:autoSpaceDN w:val="0"/>
              <w:adjustRightInd w:val="0"/>
              <w:ind w:firstLine="709"/>
              <w:jc w:val="both"/>
              <w:rPr>
                <w:rFonts w:ascii="TimesNewRomanPSMT" w:eastAsia="Times New Roman" w:hAnsi="TimesNewRomanPSMT" w:cs="TimesNewRomanPSMT"/>
                <w:sz w:val="24"/>
                <w:szCs w:val="24"/>
                <w:lang w:eastAsia="ru-RU"/>
              </w:rPr>
            </w:pPr>
          </w:p>
          <w:p w:rsidR="00FD0F66" w:rsidRPr="00D423B2" w:rsidRDefault="00681559" w:rsidP="00047326">
            <w:pPr>
              <w:jc w:val="center"/>
              <w:rPr>
                <w:rFonts w:ascii="Times New Roman" w:hAnsi="Times New Roman" w:cs="Times New Roman"/>
                <w:b/>
                <w:sz w:val="24"/>
                <w:szCs w:val="24"/>
              </w:rPr>
            </w:pPr>
            <w:r w:rsidRPr="00D423B2">
              <w:rPr>
                <w:rFonts w:ascii="Times New Roman" w:hAnsi="Times New Roman" w:cs="Times New Roman"/>
                <w:b/>
                <w:noProof/>
                <w:sz w:val="24"/>
                <w:szCs w:val="24"/>
                <w:lang w:eastAsia="ru-RU"/>
              </w:rPr>
              <w:drawing>
                <wp:inline distT="0" distB="0" distL="0" distR="0" wp14:anchorId="0E91EB97" wp14:editId="0F07A89F">
                  <wp:extent cx="2847340" cy="1228024"/>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0259" cy="1237909"/>
                          </a:xfrm>
                          <a:prstGeom prst="rect">
                            <a:avLst/>
                          </a:prstGeom>
                          <a:noFill/>
                        </pic:spPr>
                      </pic:pic>
                    </a:graphicData>
                  </a:graphic>
                </wp:inline>
              </w:drawing>
            </w:r>
          </w:p>
          <w:p w:rsidR="00E57445" w:rsidRPr="00D423B2" w:rsidRDefault="00E57445" w:rsidP="00047326">
            <w:pPr>
              <w:jc w:val="center"/>
              <w:rPr>
                <w:rFonts w:ascii="Times New Roman" w:hAnsi="Times New Roman" w:cs="Times New Roman"/>
                <w:b/>
                <w:sz w:val="24"/>
                <w:szCs w:val="24"/>
              </w:rPr>
            </w:pPr>
          </w:p>
          <w:p w:rsidR="00703104" w:rsidRPr="00703104" w:rsidRDefault="00703104" w:rsidP="00703104">
            <w:pPr>
              <w:autoSpaceDE w:val="0"/>
              <w:autoSpaceDN w:val="0"/>
              <w:adjustRightInd w:val="0"/>
              <w:jc w:val="center"/>
              <w:rPr>
                <w:rFonts w:ascii="Times New Roman" w:eastAsia="Times New Roman" w:hAnsi="Times New Roman" w:cs="Times New Roman"/>
                <w:sz w:val="16"/>
                <w:szCs w:val="16"/>
                <w:lang w:eastAsia="ru-RU"/>
              </w:rPr>
            </w:pPr>
            <w:r w:rsidRPr="00703104">
              <w:rPr>
                <w:rFonts w:ascii="Times New Roman" w:eastAsia="Times New Roman" w:hAnsi="Times New Roman" w:cs="Times New Roman"/>
                <w:sz w:val="16"/>
                <w:szCs w:val="16"/>
                <w:lang w:eastAsia="ru-RU"/>
              </w:rPr>
              <w:t>Рис. 3. Распределение добычи нефти ПАО «Татнефть» по выработанности месторождений</w:t>
            </w:r>
          </w:p>
          <w:p w:rsidR="00E57445" w:rsidRPr="00D423B2" w:rsidRDefault="00E57445" w:rsidP="00E57445">
            <w:pPr>
              <w:autoSpaceDE w:val="0"/>
              <w:autoSpaceDN w:val="0"/>
              <w:adjustRightInd w:val="0"/>
              <w:jc w:val="both"/>
              <w:rPr>
                <w:rFonts w:ascii="Times New Roman" w:eastAsia="Times New Roman" w:hAnsi="Times New Roman" w:cs="Times New Roman"/>
                <w:sz w:val="24"/>
                <w:szCs w:val="24"/>
                <w:lang w:eastAsia="ru-RU"/>
              </w:rPr>
            </w:pPr>
          </w:p>
          <w:p w:rsidR="00E57445" w:rsidRPr="00D423B2" w:rsidRDefault="0072039C" w:rsidP="00047326">
            <w:pPr>
              <w:jc w:val="center"/>
              <w:rPr>
                <w:rFonts w:ascii="Times New Roman" w:hAnsi="Times New Roman" w:cs="Times New Roman"/>
                <w:b/>
                <w:sz w:val="24"/>
                <w:szCs w:val="24"/>
              </w:rPr>
            </w:pPr>
            <w:r w:rsidRPr="00D423B2">
              <w:rPr>
                <w:rFonts w:ascii="Times New Roman" w:hAnsi="Times New Roman" w:cs="Times New Roman"/>
                <w:b/>
                <w:noProof/>
                <w:sz w:val="24"/>
                <w:szCs w:val="24"/>
                <w:lang w:eastAsia="ru-RU"/>
              </w:rPr>
              <w:drawing>
                <wp:inline distT="0" distB="0" distL="0" distR="0" wp14:anchorId="33DC880C" wp14:editId="2E5BF540">
                  <wp:extent cx="2651952" cy="14573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72126" cy="1468411"/>
                          </a:xfrm>
                          <a:prstGeom prst="rect">
                            <a:avLst/>
                          </a:prstGeom>
                          <a:noFill/>
                        </pic:spPr>
                      </pic:pic>
                    </a:graphicData>
                  </a:graphic>
                </wp:inline>
              </w:drawing>
            </w:r>
          </w:p>
          <w:p w:rsidR="00703104" w:rsidRPr="00703104" w:rsidRDefault="00703104" w:rsidP="00703104">
            <w:pPr>
              <w:autoSpaceDE w:val="0"/>
              <w:autoSpaceDN w:val="0"/>
              <w:adjustRightInd w:val="0"/>
              <w:jc w:val="center"/>
              <w:rPr>
                <w:rFonts w:ascii="Times New Roman" w:eastAsia="Times New Roman" w:hAnsi="Times New Roman" w:cs="Times New Roman"/>
                <w:sz w:val="16"/>
                <w:szCs w:val="16"/>
                <w:lang w:eastAsia="ru-RU"/>
              </w:rPr>
            </w:pPr>
            <w:r w:rsidRPr="00703104">
              <w:rPr>
                <w:rFonts w:ascii="Times New Roman" w:eastAsia="Times New Roman" w:hAnsi="Times New Roman" w:cs="Times New Roman"/>
                <w:sz w:val="16"/>
                <w:szCs w:val="16"/>
                <w:lang w:eastAsia="ru-RU"/>
              </w:rPr>
              <w:t xml:space="preserve">Рис. 4. Структура извлекаемых запасов нефти категории А+В1+С1 </w:t>
            </w:r>
            <w:r w:rsidRPr="00703104">
              <w:rPr>
                <w:rFonts w:ascii="Times New Roman" w:eastAsia="Times New Roman" w:hAnsi="Times New Roman" w:cs="Times New Roman"/>
                <w:sz w:val="16"/>
                <w:szCs w:val="16"/>
                <w:lang w:eastAsia="ru-RU"/>
              </w:rPr>
              <w:br/>
              <w:t>по месторождениям ПАО «Татнефть» по состоянию на 1 января 2019 года</w:t>
            </w:r>
          </w:p>
          <w:p w:rsidR="004C0975" w:rsidRPr="00D423B2" w:rsidRDefault="004C0975" w:rsidP="00047326">
            <w:pPr>
              <w:jc w:val="center"/>
              <w:rPr>
                <w:rFonts w:ascii="Times New Roman" w:hAnsi="Times New Roman" w:cs="Times New Roman"/>
                <w:b/>
                <w:sz w:val="24"/>
                <w:szCs w:val="24"/>
              </w:rPr>
            </w:pPr>
          </w:p>
          <w:p w:rsidR="007465CF" w:rsidRPr="00D423B2" w:rsidRDefault="00BD1675" w:rsidP="00047326">
            <w:pPr>
              <w:jc w:val="center"/>
              <w:rPr>
                <w:rFonts w:ascii="Times New Roman" w:hAnsi="Times New Roman" w:cs="Times New Roman"/>
                <w:b/>
                <w:sz w:val="24"/>
                <w:szCs w:val="24"/>
              </w:rPr>
            </w:pPr>
            <w:r>
              <w:rPr>
                <w:noProof/>
                <w:lang w:eastAsia="ru-RU"/>
              </w:rPr>
              <w:drawing>
                <wp:inline distT="0" distB="0" distL="0" distR="0">
                  <wp:extent cx="2468959" cy="1141074"/>
                  <wp:effectExtent l="0" t="0" r="762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86341" cy="1149107"/>
                          </a:xfrm>
                          <a:prstGeom prst="rect">
                            <a:avLst/>
                          </a:prstGeom>
                          <a:noFill/>
                        </pic:spPr>
                      </pic:pic>
                    </a:graphicData>
                  </a:graphic>
                </wp:inline>
              </w:drawing>
            </w:r>
          </w:p>
          <w:p w:rsidR="008F69D7" w:rsidRPr="00D423B2" w:rsidRDefault="008F69D7" w:rsidP="00047326">
            <w:pPr>
              <w:jc w:val="center"/>
              <w:rPr>
                <w:rFonts w:ascii="Times New Roman" w:hAnsi="Times New Roman" w:cs="Times New Roman"/>
                <w:b/>
                <w:sz w:val="24"/>
                <w:szCs w:val="24"/>
              </w:rPr>
            </w:pPr>
          </w:p>
          <w:p w:rsidR="00BD1675" w:rsidRPr="00BD1675" w:rsidRDefault="00BD1675" w:rsidP="00BD1675">
            <w:pPr>
              <w:autoSpaceDE w:val="0"/>
              <w:autoSpaceDN w:val="0"/>
              <w:adjustRightInd w:val="0"/>
              <w:jc w:val="center"/>
              <w:rPr>
                <w:rFonts w:ascii="Times New Roman" w:eastAsia="Times New Roman" w:hAnsi="Times New Roman" w:cs="Times New Roman"/>
                <w:sz w:val="16"/>
                <w:szCs w:val="16"/>
                <w:lang w:eastAsia="ru-RU"/>
              </w:rPr>
            </w:pPr>
            <w:r w:rsidRPr="00BD1675">
              <w:rPr>
                <w:rFonts w:ascii="Times New Roman" w:eastAsia="Times New Roman" w:hAnsi="Times New Roman" w:cs="Times New Roman"/>
                <w:sz w:val="16"/>
                <w:szCs w:val="16"/>
                <w:lang w:eastAsia="ru-RU"/>
              </w:rPr>
              <w:t>Рис. 5. Структура извлекаемых запасов нефти категории А+В1+С1 по состоянию на 1 января 2019 года по малым нефтедобывающим компаниям Республики Татарстан</w:t>
            </w:r>
          </w:p>
          <w:p w:rsidR="008F69D7" w:rsidRPr="00D423B2" w:rsidRDefault="008F69D7" w:rsidP="008F69D7">
            <w:pPr>
              <w:autoSpaceDE w:val="0"/>
              <w:autoSpaceDN w:val="0"/>
              <w:adjustRightInd w:val="0"/>
              <w:ind w:firstLine="540"/>
              <w:jc w:val="both"/>
              <w:rPr>
                <w:rFonts w:ascii="Times New Roman" w:eastAsia="Times New Roman" w:hAnsi="Times New Roman" w:cs="Times New Roman"/>
                <w:sz w:val="16"/>
                <w:szCs w:val="16"/>
                <w:lang w:eastAsia="ru-RU"/>
              </w:rPr>
            </w:pPr>
          </w:p>
          <w:p w:rsidR="00EA39C4" w:rsidRPr="00EA39C4" w:rsidRDefault="00EA39C4" w:rsidP="00EA39C4">
            <w:pPr>
              <w:autoSpaceDE w:val="0"/>
              <w:autoSpaceDN w:val="0"/>
              <w:adjustRightInd w:val="0"/>
              <w:ind w:firstLine="709"/>
              <w:jc w:val="both"/>
              <w:rPr>
                <w:rFonts w:ascii="Times New Roman" w:eastAsia="Times New Roman" w:hAnsi="Times New Roman" w:cs="Times New Roman"/>
                <w:color w:val="000000" w:themeColor="text1"/>
                <w:sz w:val="24"/>
                <w:szCs w:val="24"/>
                <w:lang w:eastAsia="ru-RU"/>
              </w:rPr>
            </w:pPr>
            <w:r w:rsidRPr="00EA39C4">
              <w:rPr>
                <w:rFonts w:ascii="Times New Roman" w:eastAsia="Times New Roman" w:hAnsi="Times New Roman" w:cs="Times New Roman"/>
                <w:color w:val="000000" w:themeColor="text1"/>
                <w:sz w:val="24"/>
                <w:szCs w:val="24"/>
                <w:lang w:eastAsia="ru-RU"/>
              </w:rPr>
              <w:t xml:space="preserve">Восполнение добычи нефти запасами, по данным ПАО «Татнефть» и МНК, показано в </w:t>
            </w:r>
            <w:hyperlink w:anchor="P299" w:history="1">
              <w:r w:rsidRPr="00EA39C4">
                <w:rPr>
                  <w:rStyle w:val="a9"/>
                  <w:rFonts w:ascii="Times New Roman" w:eastAsia="Times New Roman" w:hAnsi="Times New Roman" w:cs="Times New Roman"/>
                  <w:color w:val="000000" w:themeColor="text1"/>
                  <w:sz w:val="24"/>
                  <w:szCs w:val="24"/>
                  <w:u w:val="none"/>
                  <w:lang w:eastAsia="ru-RU"/>
                </w:rPr>
                <w:t>таблицах 4</w:t>
              </w:r>
            </w:hyperlink>
            <w:r w:rsidRPr="00EA39C4">
              <w:rPr>
                <w:rFonts w:ascii="Times New Roman" w:eastAsia="Times New Roman" w:hAnsi="Times New Roman" w:cs="Times New Roman"/>
                <w:color w:val="000000" w:themeColor="text1"/>
                <w:sz w:val="24"/>
                <w:szCs w:val="24"/>
                <w:lang w:eastAsia="ru-RU"/>
              </w:rPr>
              <w:t xml:space="preserve"> и </w:t>
            </w:r>
            <w:hyperlink w:anchor="P372" w:history="1">
              <w:r w:rsidRPr="00EA39C4">
                <w:rPr>
                  <w:rStyle w:val="a9"/>
                  <w:rFonts w:ascii="Times New Roman" w:eastAsia="Times New Roman" w:hAnsi="Times New Roman" w:cs="Times New Roman"/>
                  <w:color w:val="000000" w:themeColor="text1"/>
                  <w:sz w:val="24"/>
                  <w:szCs w:val="24"/>
                  <w:u w:val="none"/>
                  <w:lang w:eastAsia="ru-RU"/>
                </w:rPr>
                <w:t>5</w:t>
              </w:r>
            </w:hyperlink>
            <w:r w:rsidRPr="00EA39C4">
              <w:rPr>
                <w:rFonts w:ascii="Times New Roman" w:eastAsia="Times New Roman" w:hAnsi="Times New Roman" w:cs="Times New Roman"/>
                <w:color w:val="000000" w:themeColor="text1"/>
                <w:sz w:val="24"/>
                <w:szCs w:val="24"/>
                <w:lang w:eastAsia="ru-RU"/>
              </w:rPr>
              <w:t>.</w:t>
            </w:r>
          </w:p>
          <w:p w:rsidR="00EA39C4" w:rsidRPr="00EA39C4" w:rsidRDefault="00EA39C4" w:rsidP="00EA39C4">
            <w:pPr>
              <w:autoSpaceDE w:val="0"/>
              <w:autoSpaceDN w:val="0"/>
              <w:adjustRightInd w:val="0"/>
              <w:ind w:firstLine="709"/>
              <w:jc w:val="both"/>
              <w:rPr>
                <w:rFonts w:ascii="Times New Roman" w:eastAsia="Times New Roman" w:hAnsi="Times New Roman" w:cs="Times New Roman"/>
                <w:sz w:val="24"/>
                <w:szCs w:val="24"/>
                <w:lang w:eastAsia="ru-RU"/>
              </w:rPr>
            </w:pPr>
            <w:r w:rsidRPr="00EA39C4">
              <w:rPr>
                <w:rFonts w:ascii="Times New Roman" w:eastAsia="Times New Roman" w:hAnsi="Times New Roman" w:cs="Times New Roman"/>
                <w:sz w:val="24"/>
                <w:szCs w:val="24"/>
                <w:lang w:eastAsia="ru-RU"/>
              </w:rPr>
              <w:t>По состоянию на 2018 год по ПАО «Татнефть» воспроизводство минерально-сырьевой базы составляет 196 процентов, по МНК республики – 167,08 процента.</w:t>
            </w:r>
          </w:p>
          <w:p w:rsidR="000E080B" w:rsidRPr="00D423B2" w:rsidRDefault="000E080B" w:rsidP="000E080B">
            <w:pPr>
              <w:autoSpaceDE w:val="0"/>
              <w:autoSpaceDN w:val="0"/>
              <w:adjustRightInd w:val="0"/>
              <w:jc w:val="both"/>
              <w:rPr>
                <w:rFonts w:ascii="Times New Roman" w:eastAsia="Times New Roman" w:hAnsi="Times New Roman" w:cs="Times New Roman"/>
                <w:sz w:val="24"/>
                <w:szCs w:val="24"/>
                <w:lang w:eastAsia="ru-RU"/>
              </w:rPr>
            </w:pPr>
          </w:p>
          <w:p w:rsidR="000E080B" w:rsidRPr="00D423B2" w:rsidRDefault="002A0C6A" w:rsidP="000E080B">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0E080B" w:rsidRPr="00D423B2">
              <w:rPr>
                <w:rFonts w:ascii="Times New Roman" w:eastAsia="Times New Roman" w:hAnsi="Times New Roman" w:cs="Times New Roman"/>
                <w:sz w:val="24"/>
                <w:szCs w:val="24"/>
                <w:lang w:eastAsia="ru-RU"/>
              </w:rPr>
              <w:t>4</w:t>
            </w:r>
          </w:p>
          <w:p w:rsidR="000E080B" w:rsidRPr="00D423B2" w:rsidRDefault="000E080B" w:rsidP="000E080B">
            <w:pPr>
              <w:autoSpaceDE w:val="0"/>
              <w:autoSpaceDN w:val="0"/>
              <w:adjustRightInd w:val="0"/>
              <w:jc w:val="both"/>
              <w:rPr>
                <w:rFonts w:ascii="Times New Roman" w:eastAsia="Times New Roman" w:hAnsi="Times New Roman" w:cs="Times New Roman"/>
                <w:sz w:val="24"/>
                <w:szCs w:val="24"/>
                <w:lang w:eastAsia="ru-RU"/>
              </w:rPr>
            </w:pPr>
          </w:p>
          <w:p w:rsidR="000E080B" w:rsidRDefault="000E080B" w:rsidP="000E080B">
            <w:pPr>
              <w:autoSpaceDE w:val="0"/>
              <w:autoSpaceDN w:val="0"/>
              <w:adjustRightInd w:val="0"/>
              <w:jc w:val="center"/>
              <w:rPr>
                <w:rFonts w:ascii="TimesNewRomanPSMT" w:eastAsia="Times New Roman" w:hAnsi="TimesNewRomanPSMT" w:cs="TimesNewRomanPSMT"/>
                <w:sz w:val="24"/>
                <w:szCs w:val="24"/>
                <w:lang w:eastAsia="ru-RU"/>
              </w:rPr>
            </w:pPr>
            <w:bookmarkStart w:id="3" w:name="P299"/>
            <w:bookmarkEnd w:id="3"/>
            <w:r w:rsidRPr="00D423B2">
              <w:rPr>
                <w:rFonts w:ascii="TimesNewRomanPSMT" w:eastAsia="Times New Roman" w:hAnsi="TimesNewRomanPSMT" w:cs="TimesNewRomanPSMT"/>
                <w:sz w:val="24"/>
                <w:szCs w:val="24"/>
                <w:lang w:eastAsia="ru-RU"/>
              </w:rPr>
              <w:t xml:space="preserve">Динамика восполнения добычи </w:t>
            </w:r>
            <w:r w:rsidR="00DB5C03">
              <w:rPr>
                <w:rFonts w:ascii="TimesNewRomanPSMT" w:eastAsia="Times New Roman" w:hAnsi="TimesNewRomanPSMT" w:cs="TimesNewRomanPSMT"/>
                <w:sz w:val="24"/>
                <w:szCs w:val="24"/>
                <w:lang w:eastAsia="ru-RU"/>
              </w:rPr>
              <w:t>нефти запасами по ПАО «Татнефть»</w:t>
            </w:r>
          </w:p>
          <w:p w:rsidR="00DB5C03" w:rsidRPr="00D423B2" w:rsidRDefault="00DB5C03" w:rsidP="000E080B">
            <w:pPr>
              <w:autoSpaceDE w:val="0"/>
              <w:autoSpaceDN w:val="0"/>
              <w:adjustRightInd w:val="0"/>
              <w:jc w:val="center"/>
              <w:rPr>
                <w:rFonts w:ascii="TimesNewRomanPSMT" w:eastAsia="Times New Roman" w:hAnsi="TimesNewRomanPSMT" w:cs="TimesNewRomanPSMT"/>
                <w:sz w:val="24"/>
                <w:szCs w:val="24"/>
                <w:lang w:eastAsia="ru-RU"/>
              </w:rPr>
            </w:pPr>
          </w:p>
          <w:tbl>
            <w:tblPr>
              <w:tblW w:w="4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724"/>
              <w:gridCol w:w="747"/>
              <w:gridCol w:w="748"/>
              <w:gridCol w:w="748"/>
            </w:tblGrid>
            <w:tr w:rsidR="00DB5C03" w:rsidRPr="00EE54D2" w:rsidTr="00DB5C03">
              <w:trPr>
                <w:trHeight w:val="282"/>
              </w:trPr>
              <w:tc>
                <w:tcPr>
                  <w:tcW w:w="2724"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Наименование показателя/годы</w:t>
                  </w:r>
                </w:p>
              </w:tc>
              <w:tc>
                <w:tcPr>
                  <w:tcW w:w="747" w:type="dxa"/>
                </w:tcPr>
                <w:p w:rsidR="00DB5C03" w:rsidRPr="001E5FD5" w:rsidRDefault="00DB5C03" w:rsidP="00DB5C03">
                  <w:pPr>
                    <w:pStyle w:val="ConsPlusNormal"/>
                    <w:spacing w:before="60" w:after="60"/>
                    <w:jc w:val="center"/>
                    <w:rPr>
                      <w:rFonts w:ascii="Times New Roman" w:hAnsi="Times New Roman" w:cs="Times New Roman"/>
                      <w:sz w:val="16"/>
                      <w:szCs w:val="16"/>
                    </w:rPr>
                  </w:pPr>
                  <w:r w:rsidRPr="001E5FD5">
                    <w:rPr>
                      <w:rFonts w:ascii="Times New Roman" w:hAnsi="Times New Roman" w:cs="Times New Roman"/>
                      <w:sz w:val="16"/>
                      <w:szCs w:val="16"/>
                    </w:rPr>
                    <w:t>2016</w:t>
                  </w:r>
                </w:p>
              </w:tc>
              <w:tc>
                <w:tcPr>
                  <w:tcW w:w="748" w:type="dxa"/>
                </w:tcPr>
                <w:p w:rsidR="00DB5C03" w:rsidRPr="001E5FD5" w:rsidRDefault="00DB5C03" w:rsidP="00DB5C03">
                  <w:pPr>
                    <w:pStyle w:val="ConsPlusNormal"/>
                    <w:spacing w:before="60" w:after="60"/>
                    <w:jc w:val="center"/>
                    <w:rPr>
                      <w:rFonts w:ascii="Times New Roman" w:hAnsi="Times New Roman" w:cs="Times New Roman"/>
                      <w:sz w:val="16"/>
                      <w:szCs w:val="16"/>
                    </w:rPr>
                  </w:pPr>
                  <w:r w:rsidRPr="001E5FD5">
                    <w:rPr>
                      <w:rFonts w:ascii="Times New Roman" w:hAnsi="Times New Roman" w:cs="Times New Roman"/>
                      <w:sz w:val="16"/>
                      <w:szCs w:val="16"/>
                    </w:rPr>
                    <w:t>2017</w:t>
                  </w:r>
                </w:p>
              </w:tc>
              <w:tc>
                <w:tcPr>
                  <w:tcW w:w="748" w:type="dxa"/>
                </w:tcPr>
                <w:p w:rsidR="00DB5C03" w:rsidRPr="001E5FD5" w:rsidRDefault="00DB5C03" w:rsidP="00DB5C03">
                  <w:pPr>
                    <w:pStyle w:val="ConsPlusNormal"/>
                    <w:spacing w:before="60" w:after="60"/>
                    <w:jc w:val="center"/>
                    <w:rPr>
                      <w:rFonts w:ascii="Times New Roman" w:hAnsi="Times New Roman" w:cs="Times New Roman"/>
                      <w:sz w:val="16"/>
                      <w:szCs w:val="16"/>
                    </w:rPr>
                  </w:pPr>
                  <w:r w:rsidRPr="001E5FD5">
                    <w:rPr>
                      <w:rFonts w:ascii="Times New Roman" w:hAnsi="Times New Roman" w:cs="Times New Roman"/>
                      <w:sz w:val="16"/>
                      <w:szCs w:val="16"/>
                    </w:rPr>
                    <w:t>2018</w:t>
                  </w:r>
                </w:p>
              </w:tc>
            </w:tr>
            <w:tr w:rsidR="00DB5C03" w:rsidRPr="00EE54D2" w:rsidTr="00DB5C03">
              <w:trPr>
                <w:trHeight w:val="282"/>
              </w:trPr>
              <w:tc>
                <w:tcPr>
                  <w:tcW w:w="2724" w:type="dxa"/>
                </w:tcPr>
                <w:p w:rsidR="00DB5C03" w:rsidRPr="00DB5C03" w:rsidRDefault="00DB5C03" w:rsidP="00DB5C03">
                  <w:pPr>
                    <w:pStyle w:val="ConsPlusNormal"/>
                    <w:spacing w:before="60" w:after="60"/>
                    <w:rPr>
                      <w:rFonts w:ascii="Times New Roman" w:hAnsi="Times New Roman" w:cs="Times New Roman"/>
                      <w:sz w:val="16"/>
                      <w:szCs w:val="16"/>
                    </w:rPr>
                  </w:pPr>
                  <w:r w:rsidRPr="00DB5C03">
                    <w:rPr>
                      <w:rFonts w:ascii="Times New Roman" w:hAnsi="Times New Roman" w:cs="Times New Roman"/>
                      <w:sz w:val="16"/>
                      <w:szCs w:val="16"/>
                    </w:rPr>
                    <w:t>Добыча нефти, млн тонн*</w:t>
                  </w:r>
                </w:p>
              </w:tc>
              <w:tc>
                <w:tcPr>
                  <w:tcW w:w="747"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28,7</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28,9</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29,5</w:t>
                  </w:r>
                </w:p>
              </w:tc>
            </w:tr>
            <w:tr w:rsidR="00DB5C03" w:rsidRPr="00EE54D2" w:rsidTr="00DB5C03">
              <w:trPr>
                <w:trHeight w:val="292"/>
              </w:trPr>
              <w:tc>
                <w:tcPr>
                  <w:tcW w:w="2724" w:type="dxa"/>
                </w:tcPr>
                <w:p w:rsidR="00DB5C03" w:rsidRPr="00DB5C03" w:rsidRDefault="00DB5C03" w:rsidP="00DB5C03">
                  <w:pPr>
                    <w:pStyle w:val="ConsPlusNormal"/>
                    <w:spacing w:before="60" w:after="60"/>
                    <w:rPr>
                      <w:rFonts w:ascii="Times New Roman" w:hAnsi="Times New Roman" w:cs="Times New Roman"/>
                      <w:sz w:val="16"/>
                      <w:szCs w:val="16"/>
                    </w:rPr>
                  </w:pPr>
                  <w:r w:rsidRPr="00DB5C03">
                    <w:rPr>
                      <w:rFonts w:ascii="Times New Roman" w:hAnsi="Times New Roman" w:cs="Times New Roman"/>
                      <w:sz w:val="16"/>
                      <w:szCs w:val="16"/>
                    </w:rPr>
                    <w:t>Прирост запасов, млн тонн **</w:t>
                  </w:r>
                </w:p>
              </w:tc>
              <w:tc>
                <w:tcPr>
                  <w:tcW w:w="747"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38,7</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50,9</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58,0</w:t>
                  </w:r>
                </w:p>
              </w:tc>
            </w:tr>
            <w:tr w:rsidR="00DB5C03" w:rsidRPr="00EE54D2" w:rsidTr="00DB5C03">
              <w:trPr>
                <w:trHeight w:val="271"/>
              </w:trPr>
              <w:tc>
                <w:tcPr>
                  <w:tcW w:w="2724" w:type="dxa"/>
                </w:tcPr>
                <w:p w:rsidR="00DB5C03" w:rsidRPr="00DB5C03" w:rsidRDefault="00DB5C03" w:rsidP="00DB5C03">
                  <w:pPr>
                    <w:pStyle w:val="ConsPlusNormal"/>
                    <w:spacing w:before="60" w:after="60"/>
                    <w:rPr>
                      <w:rFonts w:ascii="Times New Roman" w:hAnsi="Times New Roman" w:cs="Times New Roman"/>
                      <w:sz w:val="16"/>
                      <w:szCs w:val="16"/>
                    </w:rPr>
                  </w:pPr>
                  <w:r w:rsidRPr="00DB5C03">
                    <w:rPr>
                      <w:rFonts w:ascii="Times New Roman" w:hAnsi="Times New Roman" w:cs="Times New Roman"/>
                      <w:sz w:val="16"/>
                      <w:szCs w:val="16"/>
                    </w:rPr>
                    <w:t>Воспроизводство минерально-сырьевой базы, %*</w:t>
                  </w:r>
                </w:p>
              </w:tc>
              <w:tc>
                <w:tcPr>
                  <w:tcW w:w="747"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135</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176</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196</w:t>
                  </w:r>
                </w:p>
              </w:tc>
            </w:tr>
          </w:tbl>
          <w:p w:rsidR="001B0262" w:rsidRDefault="001B0262" w:rsidP="00771027">
            <w:pPr>
              <w:autoSpaceDE w:val="0"/>
              <w:autoSpaceDN w:val="0"/>
              <w:adjustRightInd w:val="0"/>
              <w:jc w:val="right"/>
              <w:outlineLvl w:val="3"/>
              <w:rPr>
                <w:rFonts w:ascii="Times New Roman" w:eastAsia="Times New Roman" w:hAnsi="Times New Roman" w:cs="Times New Roman"/>
                <w:sz w:val="24"/>
                <w:szCs w:val="24"/>
                <w:lang w:eastAsia="ru-RU"/>
              </w:rPr>
            </w:pPr>
          </w:p>
          <w:p w:rsidR="00771027" w:rsidRPr="00D423B2" w:rsidRDefault="00051293" w:rsidP="00771027">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771027" w:rsidRPr="00D423B2">
              <w:rPr>
                <w:rFonts w:ascii="Times New Roman" w:eastAsia="Times New Roman" w:hAnsi="Times New Roman" w:cs="Times New Roman"/>
                <w:sz w:val="24"/>
                <w:szCs w:val="24"/>
                <w:lang w:eastAsia="ru-RU"/>
              </w:rPr>
              <w:t>5</w:t>
            </w:r>
          </w:p>
          <w:p w:rsidR="00771027" w:rsidRPr="00D423B2" w:rsidRDefault="00771027" w:rsidP="00771027">
            <w:pPr>
              <w:autoSpaceDE w:val="0"/>
              <w:autoSpaceDN w:val="0"/>
              <w:adjustRightInd w:val="0"/>
              <w:jc w:val="both"/>
              <w:rPr>
                <w:rFonts w:ascii="Times New Roman" w:eastAsia="Times New Roman" w:hAnsi="Times New Roman" w:cs="Times New Roman"/>
                <w:sz w:val="24"/>
                <w:szCs w:val="24"/>
                <w:lang w:eastAsia="ru-RU"/>
              </w:rPr>
            </w:pPr>
          </w:p>
          <w:p w:rsidR="000042D9" w:rsidRPr="000042D9" w:rsidRDefault="000042D9" w:rsidP="000042D9">
            <w:pPr>
              <w:autoSpaceDE w:val="0"/>
              <w:autoSpaceDN w:val="0"/>
              <w:adjustRightInd w:val="0"/>
              <w:jc w:val="center"/>
              <w:rPr>
                <w:rFonts w:ascii="Times New Roman" w:eastAsia="Times New Roman" w:hAnsi="Times New Roman" w:cs="Times New Roman"/>
                <w:sz w:val="24"/>
                <w:szCs w:val="24"/>
                <w:lang w:eastAsia="ru-RU"/>
              </w:rPr>
            </w:pPr>
            <w:bookmarkStart w:id="4" w:name="P372"/>
            <w:bookmarkEnd w:id="4"/>
            <w:r w:rsidRPr="000042D9">
              <w:rPr>
                <w:rFonts w:ascii="Times New Roman" w:eastAsia="Times New Roman" w:hAnsi="Times New Roman" w:cs="Times New Roman"/>
                <w:sz w:val="24"/>
                <w:szCs w:val="24"/>
                <w:lang w:eastAsia="ru-RU"/>
              </w:rPr>
              <w:t xml:space="preserve">Динамика восполнения добычи нефти запасами </w:t>
            </w:r>
          </w:p>
          <w:p w:rsidR="00771027" w:rsidRDefault="000042D9" w:rsidP="000042D9">
            <w:pPr>
              <w:autoSpaceDE w:val="0"/>
              <w:autoSpaceDN w:val="0"/>
              <w:adjustRightInd w:val="0"/>
              <w:jc w:val="center"/>
              <w:rPr>
                <w:rFonts w:ascii="Times New Roman" w:eastAsia="Times New Roman" w:hAnsi="Times New Roman" w:cs="Times New Roman"/>
                <w:sz w:val="24"/>
                <w:szCs w:val="24"/>
                <w:lang w:eastAsia="ru-RU"/>
              </w:rPr>
            </w:pPr>
            <w:r w:rsidRPr="000042D9">
              <w:rPr>
                <w:rFonts w:ascii="Times New Roman" w:eastAsia="Times New Roman" w:hAnsi="Times New Roman" w:cs="Times New Roman"/>
                <w:sz w:val="24"/>
                <w:szCs w:val="24"/>
                <w:lang w:eastAsia="ru-RU"/>
              </w:rPr>
              <w:t>(по данным МНК)</w:t>
            </w:r>
          </w:p>
          <w:p w:rsidR="000042D9" w:rsidRDefault="000042D9" w:rsidP="000042D9">
            <w:pPr>
              <w:autoSpaceDE w:val="0"/>
              <w:autoSpaceDN w:val="0"/>
              <w:adjustRightInd w:val="0"/>
              <w:jc w:val="center"/>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81"/>
              <w:gridCol w:w="474"/>
              <w:gridCol w:w="474"/>
              <w:gridCol w:w="475"/>
              <w:gridCol w:w="474"/>
              <w:gridCol w:w="475"/>
            </w:tblGrid>
            <w:tr w:rsidR="000042D9" w:rsidRPr="00EE54D2" w:rsidTr="000042D9">
              <w:trPr>
                <w:trHeight w:val="305"/>
              </w:trPr>
              <w:tc>
                <w:tcPr>
                  <w:tcW w:w="2581" w:type="dxa"/>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lastRenderedPageBreak/>
                    <w:t>Наименование показателя / годы</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2014</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2015</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2016</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2017</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2018</w:t>
                  </w:r>
                </w:p>
              </w:tc>
            </w:tr>
            <w:tr w:rsidR="000042D9" w:rsidRPr="00EE54D2" w:rsidTr="000042D9">
              <w:trPr>
                <w:trHeight w:val="305"/>
              </w:trPr>
              <w:tc>
                <w:tcPr>
                  <w:tcW w:w="2581" w:type="dxa"/>
                </w:tcPr>
                <w:p w:rsidR="000042D9" w:rsidRPr="000042D9" w:rsidRDefault="000042D9" w:rsidP="000042D9">
                  <w:pPr>
                    <w:pStyle w:val="ConsPlusNormal"/>
                    <w:spacing w:before="60" w:after="60"/>
                    <w:rPr>
                      <w:rFonts w:ascii="Times New Roman" w:hAnsi="Times New Roman" w:cs="Times New Roman"/>
                      <w:sz w:val="16"/>
                      <w:szCs w:val="16"/>
                    </w:rPr>
                  </w:pPr>
                  <w:r w:rsidRPr="000042D9">
                    <w:rPr>
                      <w:rFonts w:ascii="Times New Roman" w:hAnsi="Times New Roman" w:cs="Times New Roman"/>
                      <w:sz w:val="16"/>
                      <w:szCs w:val="16"/>
                    </w:rPr>
                    <w:t>Добыча нефти, млн тонн</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6,9</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7,1</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7,15</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7,258</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7,140</w:t>
                  </w:r>
                </w:p>
              </w:tc>
            </w:tr>
            <w:tr w:rsidR="000042D9" w:rsidRPr="00EE54D2" w:rsidTr="000042D9">
              <w:trPr>
                <w:trHeight w:val="532"/>
              </w:trPr>
              <w:tc>
                <w:tcPr>
                  <w:tcW w:w="2581" w:type="dxa"/>
                </w:tcPr>
                <w:p w:rsidR="000042D9" w:rsidRPr="000042D9" w:rsidRDefault="000042D9" w:rsidP="000042D9">
                  <w:pPr>
                    <w:pStyle w:val="ConsPlusNormal"/>
                    <w:spacing w:before="60" w:after="60"/>
                    <w:rPr>
                      <w:rFonts w:ascii="Times New Roman" w:hAnsi="Times New Roman" w:cs="Times New Roman"/>
                      <w:sz w:val="16"/>
                      <w:szCs w:val="16"/>
                    </w:rPr>
                  </w:pPr>
                  <w:r w:rsidRPr="000042D9">
                    <w:rPr>
                      <w:rFonts w:ascii="Times New Roman" w:hAnsi="Times New Roman" w:cs="Times New Roman"/>
                      <w:sz w:val="16"/>
                      <w:szCs w:val="16"/>
                    </w:rPr>
                    <w:t>Прирост запасов по категории С1 + С2 (с учетом списания запасов), млн тонн, в том числе</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8,2</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13,7</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4,7</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13,4</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12</w:t>
                  </w:r>
                </w:p>
              </w:tc>
            </w:tr>
            <w:tr w:rsidR="000042D9" w:rsidRPr="00EE54D2" w:rsidTr="000042D9">
              <w:trPr>
                <w:trHeight w:val="305"/>
              </w:trPr>
              <w:tc>
                <w:tcPr>
                  <w:tcW w:w="2581" w:type="dxa"/>
                </w:tcPr>
                <w:p w:rsidR="000042D9" w:rsidRPr="000042D9" w:rsidRDefault="000042D9" w:rsidP="000042D9">
                  <w:pPr>
                    <w:pStyle w:val="ConsPlusNormal"/>
                    <w:spacing w:before="60" w:after="60"/>
                    <w:ind w:left="283"/>
                    <w:rPr>
                      <w:rFonts w:ascii="Times New Roman" w:hAnsi="Times New Roman" w:cs="Times New Roman"/>
                      <w:sz w:val="16"/>
                      <w:szCs w:val="16"/>
                    </w:rPr>
                  </w:pPr>
                  <w:r w:rsidRPr="000042D9">
                    <w:rPr>
                      <w:rFonts w:ascii="Times New Roman" w:hAnsi="Times New Roman" w:cs="Times New Roman"/>
                      <w:sz w:val="16"/>
                      <w:szCs w:val="16"/>
                    </w:rPr>
                    <w:t>за счет текущих ГРР</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7,8</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13,7</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2,9</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13,6</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4,6</w:t>
                  </w:r>
                </w:p>
              </w:tc>
            </w:tr>
            <w:tr w:rsidR="000042D9" w:rsidRPr="00EE54D2" w:rsidTr="000042D9">
              <w:trPr>
                <w:trHeight w:val="317"/>
              </w:trPr>
              <w:tc>
                <w:tcPr>
                  <w:tcW w:w="2581" w:type="dxa"/>
                </w:tcPr>
                <w:p w:rsidR="000042D9" w:rsidRPr="000042D9" w:rsidRDefault="000042D9" w:rsidP="000042D9">
                  <w:pPr>
                    <w:pStyle w:val="ConsPlusNormal"/>
                    <w:spacing w:before="60" w:after="60"/>
                    <w:ind w:left="283"/>
                    <w:rPr>
                      <w:rFonts w:ascii="Times New Roman" w:hAnsi="Times New Roman" w:cs="Times New Roman"/>
                      <w:sz w:val="16"/>
                      <w:szCs w:val="16"/>
                    </w:rPr>
                  </w:pPr>
                  <w:r w:rsidRPr="000042D9">
                    <w:rPr>
                      <w:rFonts w:ascii="Times New Roman" w:hAnsi="Times New Roman" w:cs="Times New Roman"/>
                      <w:sz w:val="16"/>
                      <w:szCs w:val="16"/>
                    </w:rPr>
                    <w:t>за счет изменения КИН и переоценки</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0,4</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-2,6</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1,8</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-0,2</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14,3</w:t>
                  </w:r>
                </w:p>
              </w:tc>
            </w:tr>
            <w:tr w:rsidR="000042D9" w:rsidRPr="00EE54D2" w:rsidTr="000042D9">
              <w:trPr>
                <w:trHeight w:val="294"/>
              </w:trPr>
              <w:tc>
                <w:tcPr>
                  <w:tcW w:w="2581" w:type="dxa"/>
                </w:tcPr>
                <w:p w:rsidR="000042D9" w:rsidRPr="000042D9" w:rsidRDefault="000042D9" w:rsidP="000042D9">
                  <w:pPr>
                    <w:pStyle w:val="ConsPlusNormal"/>
                    <w:spacing w:before="60" w:after="60"/>
                    <w:ind w:right="-62"/>
                    <w:rPr>
                      <w:rFonts w:ascii="Times New Roman" w:hAnsi="Times New Roman" w:cs="Times New Roman"/>
                      <w:sz w:val="16"/>
                      <w:szCs w:val="16"/>
                    </w:rPr>
                  </w:pPr>
                  <w:r w:rsidRPr="000042D9">
                    <w:rPr>
                      <w:rFonts w:ascii="Times New Roman" w:hAnsi="Times New Roman" w:cs="Times New Roman"/>
                      <w:sz w:val="16"/>
                      <w:szCs w:val="16"/>
                    </w:rPr>
                    <w:t>Воспроизводство минерально-сырьевой базы, %</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118,8</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193</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65,7</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184,6</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167,08</w:t>
                  </w:r>
                </w:p>
              </w:tc>
            </w:tr>
          </w:tbl>
          <w:p w:rsidR="007B69D9" w:rsidRPr="007B69D9" w:rsidRDefault="007B69D9" w:rsidP="007B69D9">
            <w:pPr>
              <w:autoSpaceDE w:val="0"/>
              <w:autoSpaceDN w:val="0"/>
              <w:adjustRightInd w:val="0"/>
              <w:jc w:val="both"/>
              <w:rPr>
                <w:rFonts w:ascii="Times New Roman" w:eastAsia="Times New Roman" w:hAnsi="Times New Roman" w:cs="Times New Roman"/>
                <w:iCs/>
                <w:sz w:val="16"/>
                <w:szCs w:val="16"/>
                <w:lang w:eastAsia="ru-RU"/>
              </w:rPr>
            </w:pPr>
            <w:r w:rsidRPr="007B69D9">
              <w:rPr>
                <w:rFonts w:ascii="Times New Roman" w:eastAsia="Times New Roman" w:hAnsi="Times New Roman" w:cs="Times New Roman"/>
                <w:iCs/>
                <w:sz w:val="16"/>
                <w:szCs w:val="16"/>
                <w:lang w:eastAsia="ru-RU"/>
              </w:rPr>
              <w:t>___________</w:t>
            </w:r>
          </w:p>
          <w:p w:rsidR="007B69D9" w:rsidRPr="007B69D9" w:rsidRDefault="007B69D9" w:rsidP="007B69D9">
            <w:pPr>
              <w:autoSpaceDE w:val="0"/>
              <w:autoSpaceDN w:val="0"/>
              <w:adjustRightInd w:val="0"/>
              <w:jc w:val="both"/>
              <w:rPr>
                <w:rFonts w:ascii="Times New Roman" w:eastAsia="Times New Roman" w:hAnsi="Times New Roman" w:cs="Times New Roman"/>
                <w:iCs/>
                <w:sz w:val="16"/>
                <w:szCs w:val="16"/>
                <w:lang w:eastAsia="ru-RU"/>
              </w:rPr>
            </w:pPr>
            <w:r w:rsidRPr="007B69D9">
              <w:rPr>
                <w:rFonts w:ascii="Times New Roman" w:eastAsia="Times New Roman" w:hAnsi="Times New Roman" w:cs="Times New Roman"/>
                <w:iCs/>
                <w:sz w:val="16"/>
                <w:szCs w:val="16"/>
                <w:lang w:eastAsia="ru-RU"/>
              </w:rPr>
              <w:t>*  по</w:t>
            </w:r>
            <w:r w:rsidRPr="007B69D9">
              <w:rPr>
                <w:rFonts w:ascii="Times New Roman" w:eastAsia="Calibri" w:hAnsi="Times New Roman" w:cs="Times New Roman"/>
                <w:bCs/>
                <w:sz w:val="16"/>
                <w:szCs w:val="16"/>
              </w:rPr>
              <w:t xml:space="preserve">  оценке независимой компании «Миллер энд Ленц, Лтд.»</w:t>
            </w:r>
            <w:r w:rsidRPr="007B69D9">
              <w:rPr>
                <w:rFonts w:ascii="Times New Roman" w:eastAsia="Times New Roman" w:hAnsi="Times New Roman" w:cs="Times New Roman"/>
                <w:sz w:val="16"/>
                <w:szCs w:val="16"/>
                <w:lang w:eastAsia="ru-RU"/>
              </w:rPr>
              <w:t>,</w:t>
            </w:r>
          </w:p>
          <w:p w:rsidR="000042D9" w:rsidRPr="00824444" w:rsidRDefault="007B69D9" w:rsidP="000042D9">
            <w:pPr>
              <w:autoSpaceDE w:val="0"/>
              <w:autoSpaceDN w:val="0"/>
              <w:adjustRightInd w:val="0"/>
              <w:jc w:val="both"/>
              <w:rPr>
                <w:rFonts w:ascii="Times New Roman" w:eastAsia="Times New Roman" w:hAnsi="Times New Roman" w:cs="Times New Roman"/>
                <w:sz w:val="16"/>
                <w:szCs w:val="16"/>
                <w:lang w:eastAsia="ru-RU"/>
              </w:rPr>
            </w:pPr>
            <w:r w:rsidRPr="007B69D9">
              <w:rPr>
                <w:rFonts w:ascii="Times New Roman" w:eastAsia="Times New Roman" w:hAnsi="Times New Roman" w:cs="Times New Roman"/>
                <w:iCs/>
                <w:sz w:val="16"/>
                <w:szCs w:val="16"/>
                <w:lang w:eastAsia="ru-RU"/>
              </w:rPr>
              <w:t>** по данным ПАО «Татнефть»</w:t>
            </w:r>
          </w:p>
          <w:p w:rsidR="00771027" w:rsidRPr="00D423B2" w:rsidRDefault="00771027" w:rsidP="00771027">
            <w:pPr>
              <w:autoSpaceDE w:val="0"/>
              <w:autoSpaceDN w:val="0"/>
              <w:adjustRightInd w:val="0"/>
              <w:jc w:val="both"/>
              <w:rPr>
                <w:rFonts w:ascii="Times New Roman" w:eastAsia="Times New Roman" w:hAnsi="Times New Roman" w:cs="Times New Roman"/>
                <w:sz w:val="24"/>
                <w:szCs w:val="24"/>
                <w:lang w:eastAsia="ru-RU"/>
              </w:rPr>
            </w:pPr>
          </w:p>
          <w:p w:rsidR="008F69D7" w:rsidRPr="00D423B2" w:rsidRDefault="000801C9" w:rsidP="000801C9">
            <w:pPr>
              <w:autoSpaceDE w:val="0"/>
              <w:autoSpaceDN w:val="0"/>
              <w:adjustRightInd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3.3. Воспроизводство минерально-сырьевой базы углеводородов Республики Татарстан</w:t>
            </w:r>
          </w:p>
          <w:p w:rsidR="00E538D1" w:rsidRDefault="00266F2D" w:rsidP="00266F2D">
            <w:pPr>
              <w:autoSpaceDE w:val="0"/>
              <w:autoSpaceDN w:val="0"/>
              <w:adjustRightInd w:val="0"/>
              <w:jc w:val="both"/>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 xml:space="preserve">            </w:t>
            </w:r>
          </w:p>
          <w:p w:rsidR="007F69EA" w:rsidRPr="007F69EA" w:rsidRDefault="00E538D1" w:rsidP="007F69EA">
            <w:pPr>
              <w:ind w:firstLine="709"/>
              <w:jc w:val="both"/>
              <w:rPr>
                <w:rFonts w:ascii="Times New Roman" w:hAnsi="Times New Roman"/>
                <w:sz w:val="24"/>
                <w:szCs w:val="24"/>
                <w:lang w:eastAsia="ru-RU"/>
              </w:rPr>
            </w:pPr>
            <w:r>
              <w:rPr>
                <w:rFonts w:ascii="Times New Roman" w:eastAsia="Times New Roman" w:hAnsi="Times New Roman" w:cs="Times New Roman"/>
                <w:sz w:val="24"/>
                <w:szCs w:val="24"/>
                <w:lang w:eastAsia="ru-RU"/>
              </w:rPr>
              <w:t xml:space="preserve">          </w:t>
            </w:r>
            <w:r w:rsidR="007F69EA" w:rsidRPr="007F69EA">
              <w:rPr>
                <w:rFonts w:ascii="Times New Roman" w:hAnsi="Times New Roman"/>
                <w:sz w:val="24"/>
                <w:szCs w:val="24"/>
                <w:lang w:eastAsia="ru-RU"/>
              </w:rPr>
              <w:t>Возможности прироста запасов за счет традиционных геологоразведочных работ (далее – ГРР) устойчиво сокращаются по мере увеличения разведанности территории. Татарстан является одной из наиболее разведанных в геологическом отношении территорий среди субъектов Российской Федерации. В настоящее время в республике доля прироста запасов за счет ГРР составляет около 40 процентов. К 2030 году значительная доля прироста будет осуществляться за счет запасов СВН и природных битумов пермских отложений, углеводородов, локализованных в карбонатных коллекторах, трудноизвлекаемых запасов, приуроченных к доманиковым отложениям, наименее изученным к настоящему времени.</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 xml:space="preserve">При выборе направлений ГРР, наряду с вопросами эффективности интегрального </w:t>
            </w:r>
            <w:r w:rsidRPr="007F69EA">
              <w:rPr>
                <w:rFonts w:ascii="Times New Roman" w:eastAsia="Times New Roman" w:hAnsi="Times New Roman" w:cs="Times New Roman"/>
                <w:sz w:val="24"/>
                <w:szCs w:val="24"/>
                <w:lang w:eastAsia="ru-RU"/>
              </w:rPr>
              <w:lastRenderedPageBreak/>
              <w:t>прироста запасов, необходимо руководствоваться вопросами их качества, а именно – доля запасов, которую можно ввести в активную и рентабельную разработку. Для МНК, учитывая ограниченность перспектив опоискования неразведанных участков на лицензионных территориях, а также запасов и ресурсов категорий С2 + С3, приоритетами ГРР должны стать вопросы:</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повышения КИН;</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переоценки запасов действующих месторождений с уточнением кондиционных значений пород-коллекторов, геолого-гидродинамических моделей;</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внедрения инновационных технологий разведки;</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доразведки эксплуатируемых месторождений.</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 xml:space="preserve">В </w:t>
            </w:r>
            <w:hyperlink w:anchor="P464" w:history="1">
              <w:r w:rsidRPr="007F69EA">
                <w:rPr>
                  <w:rFonts w:ascii="Times New Roman" w:eastAsia="Times New Roman" w:hAnsi="Times New Roman" w:cs="Times New Roman"/>
                  <w:sz w:val="24"/>
                  <w:szCs w:val="24"/>
                  <w:lang w:eastAsia="ru-RU"/>
                </w:rPr>
                <w:t>таблице 6</w:t>
              </w:r>
            </w:hyperlink>
            <w:r w:rsidRPr="007F69EA">
              <w:rPr>
                <w:rFonts w:ascii="Times New Roman" w:eastAsia="Times New Roman" w:hAnsi="Times New Roman" w:cs="Times New Roman"/>
                <w:sz w:val="24"/>
                <w:szCs w:val="24"/>
                <w:lang w:eastAsia="ru-RU"/>
              </w:rPr>
              <w:t xml:space="preserve"> приведены требуемые объемы поисково-разведочного бурения, обеспечивающие расширенное воспроизводство запасов. За период</w:t>
            </w:r>
            <w:r w:rsidRPr="007F69EA">
              <w:rPr>
                <w:rFonts w:ascii="Times New Roman" w:eastAsia="Times New Roman" w:hAnsi="Times New Roman" w:cs="Times New Roman"/>
                <w:sz w:val="24"/>
                <w:szCs w:val="24"/>
                <w:lang w:eastAsia="ru-RU"/>
              </w:rPr>
              <w:br/>
              <w:t>2017 – 2030 годов прирост запасов по Республике Татарстан составит</w:t>
            </w:r>
            <w:r w:rsidRPr="007F69EA">
              <w:rPr>
                <w:rFonts w:ascii="Times New Roman" w:eastAsia="Times New Roman" w:hAnsi="Times New Roman" w:cs="Times New Roman"/>
                <w:sz w:val="24"/>
                <w:szCs w:val="24"/>
                <w:lang w:eastAsia="ru-RU"/>
              </w:rPr>
              <w:br/>
              <w:t>563,2 млн тонн, суммарный объем добычи нефти – 558,01 млн тонн.</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Стабилизация добычи нефти в Республике Татарстан с небольшими темпами прироста в 2016 – 2030 годах будет обеспечена за счет:</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роста объемов поисково-разведочного бурения;</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 xml:space="preserve">увеличения объема бурения скважин по уплотненной сетке и скважин с горизонтальными окончаниями по новым технологиям (горизонтальные скважины на девонские </w:t>
            </w:r>
            <w:r w:rsidRPr="007F69EA">
              <w:rPr>
                <w:rFonts w:ascii="Times New Roman" w:eastAsia="Times New Roman" w:hAnsi="Times New Roman" w:cs="Times New Roman"/>
                <w:sz w:val="24"/>
                <w:szCs w:val="24"/>
                <w:lang w:eastAsia="ru-RU"/>
              </w:rPr>
              <w:lastRenderedPageBreak/>
              <w:t>отложения, боковые горизонтальные стволы на разрабатываемых месторождениях);</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применения тепловых методов для увеличения КИН при разработке месторождений с высоковязкой нефтью (закачка горячей воды на Беркет-Ключевском месторождении ЗАО «Охтинойл);</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внедрения системных технологий МУН;</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расширения объемов работ по вводу в разработку месторождений (залежей) битуминозных нефтей тепловыми методами;</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ввода в эксплуатацию залежей, участков со слабопроницаемыми коллекторами;</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trike/>
                <w:sz w:val="24"/>
                <w:szCs w:val="24"/>
                <w:lang w:eastAsia="ru-RU"/>
              </w:rPr>
            </w:pPr>
            <w:r w:rsidRPr="007F69EA">
              <w:rPr>
                <w:rFonts w:ascii="Times New Roman" w:eastAsia="Times New Roman" w:hAnsi="Times New Roman" w:cs="Times New Roman"/>
                <w:sz w:val="24"/>
                <w:szCs w:val="24"/>
                <w:lang w:eastAsia="ru-RU"/>
              </w:rPr>
              <w:t xml:space="preserve">внедрения новых технологий разработки залежей ВВН и СВН </w:t>
            </w:r>
            <w:hyperlink w:anchor="P726" w:history="1">
              <w:r w:rsidRPr="007F69EA">
                <w:rPr>
                  <w:rFonts w:ascii="Times New Roman" w:eastAsia="Times New Roman" w:hAnsi="Times New Roman" w:cs="Times New Roman"/>
                  <w:sz w:val="24"/>
                  <w:szCs w:val="24"/>
                  <w:lang w:eastAsia="ru-RU"/>
                </w:rPr>
                <w:t>(таблица 7)</w:t>
              </w:r>
            </w:hyperlink>
            <w:r w:rsidRPr="007F69EA">
              <w:rPr>
                <w:rFonts w:ascii="Times New Roman" w:eastAsia="Times New Roman" w:hAnsi="Times New Roman" w:cs="Times New Roman"/>
                <w:sz w:val="24"/>
                <w:szCs w:val="24"/>
                <w:lang w:eastAsia="ru-RU"/>
              </w:rPr>
              <w:t>.</w:t>
            </w:r>
          </w:p>
          <w:p w:rsidR="00E11B6E" w:rsidRPr="00D423B2" w:rsidRDefault="00E11B6E" w:rsidP="00036314">
            <w:pPr>
              <w:autoSpaceDE w:val="0"/>
              <w:autoSpaceDN w:val="0"/>
              <w:adjustRightInd w:val="0"/>
              <w:ind w:firstLine="709"/>
              <w:jc w:val="both"/>
              <w:rPr>
                <w:rFonts w:ascii="Times New Roman" w:eastAsia="Times New Roman" w:hAnsi="Times New Roman" w:cs="Times New Roman"/>
                <w:sz w:val="24"/>
                <w:szCs w:val="24"/>
                <w:lang w:eastAsia="ru-RU"/>
              </w:rPr>
            </w:pPr>
          </w:p>
          <w:p w:rsidR="00E11B6E" w:rsidRPr="00D423B2" w:rsidRDefault="00F47AAF" w:rsidP="00E11B6E">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E11B6E" w:rsidRPr="00D423B2">
              <w:rPr>
                <w:rFonts w:ascii="Times New Roman" w:eastAsia="Times New Roman" w:hAnsi="Times New Roman" w:cs="Times New Roman"/>
                <w:sz w:val="24"/>
                <w:szCs w:val="24"/>
                <w:lang w:eastAsia="ru-RU"/>
              </w:rPr>
              <w:t>6</w:t>
            </w:r>
          </w:p>
          <w:p w:rsidR="004D6FB3" w:rsidRDefault="004D6FB3" w:rsidP="00E11B6E">
            <w:pPr>
              <w:autoSpaceDE w:val="0"/>
              <w:autoSpaceDN w:val="0"/>
              <w:adjustRightInd w:val="0"/>
              <w:jc w:val="center"/>
              <w:rPr>
                <w:rFonts w:ascii="Times New Roman" w:eastAsia="Times New Roman" w:hAnsi="Times New Roman" w:cs="Times New Roman"/>
                <w:sz w:val="24"/>
                <w:szCs w:val="24"/>
                <w:lang w:eastAsia="ru-RU"/>
              </w:rPr>
            </w:pPr>
            <w:bookmarkStart w:id="5" w:name="P464"/>
            <w:bookmarkEnd w:id="5"/>
          </w:p>
          <w:p w:rsidR="00E11B6E" w:rsidRPr="00D423B2" w:rsidRDefault="00E11B6E" w:rsidP="00E11B6E">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Объемы прироста запасов, сейсморазведочных работ, поисково-разведочного бурения</w:t>
            </w:r>
          </w:p>
          <w:p w:rsidR="002B76C2" w:rsidRPr="00D423B2" w:rsidRDefault="002B76C2" w:rsidP="00E11B6E">
            <w:pPr>
              <w:autoSpaceDE w:val="0"/>
              <w:autoSpaceDN w:val="0"/>
              <w:adjustRightInd w:val="0"/>
              <w:jc w:val="center"/>
              <w:rPr>
                <w:rFonts w:ascii="Times New Roman" w:eastAsia="Times New Roman" w:hAnsi="Times New Roman" w:cs="Times New Roman"/>
                <w:sz w:val="24"/>
                <w:szCs w:val="24"/>
                <w:lang w:eastAsia="ru-RU"/>
              </w:rPr>
            </w:pPr>
          </w:p>
          <w:p w:rsidR="00F751CB" w:rsidRPr="00D423B2" w:rsidRDefault="00F751CB" w:rsidP="00F751CB">
            <w:pPr>
              <w:widowControl w:val="0"/>
              <w:autoSpaceDE w:val="0"/>
              <w:autoSpaceDN w:val="0"/>
              <w:jc w:val="center"/>
              <w:rPr>
                <w:rFonts w:ascii="Times New Roman" w:eastAsia="Times New Roman" w:hAnsi="Times New Roman" w:cs="Times New Roman"/>
                <w:i/>
                <w:sz w:val="24"/>
                <w:szCs w:val="24"/>
                <w:lang w:eastAsia="ru-RU"/>
              </w:rPr>
            </w:pPr>
            <w:r w:rsidRPr="00D423B2">
              <w:rPr>
                <w:rFonts w:ascii="Times New Roman" w:eastAsia="Times New Roman" w:hAnsi="Times New Roman" w:cs="Times New Roman"/>
                <w:i/>
                <w:sz w:val="24"/>
                <w:szCs w:val="24"/>
                <w:lang w:eastAsia="ru-RU"/>
              </w:rPr>
              <w:t>таблица 6 представлена в приложении</w:t>
            </w:r>
          </w:p>
          <w:p w:rsidR="001C7993" w:rsidRPr="00D423B2" w:rsidRDefault="001C7993" w:rsidP="00F751CB">
            <w:pPr>
              <w:widowControl w:val="0"/>
              <w:autoSpaceDE w:val="0"/>
              <w:autoSpaceDN w:val="0"/>
              <w:jc w:val="center"/>
              <w:rPr>
                <w:rFonts w:ascii="Times New Roman" w:eastAsia="Times New Roman" w:hAnsi="Times New Roman" w:cs="Times New Roman"/>
                <w:i/>
                <w:sz w:val="24"/>
                <w:szCs w:val="24"/>
                <w:lang w:eastAsia="ru-RU"/>
              </w:rPr>
            </w:pPr>
          </w:p>
          <w:p w:rsidR="001C7993" w:rsidRPr="00D423B2" w:rsidRDefault="00F47AAF" w:rsidP="001C7993">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1C7993" w:rsidRPr="00D423B2">
              <w:rPr>
                <w:rFonts w:ascii="Times New Roman" w:eastAsia="Times New Roman" w:hAnsi="Times New Roman" w:cs="Times New Roman"/>
                <w:sz w:val="24"/>
                <w:szCs w:val="24"/>
                <w:lang w:eastAsia="ru-RU"/>
              </w:rPr>
              <w:t>7</w:t>
            </w:r>
          </w:p>
          <w:p w:rsidR="001C7993" w:rsidRPr="00D423B2" w:rsidRDefault="001C7993" w:rsidP="001C7993">
            <w:pPr>
              <w:autoSpaceDE w:val="0"/>
              <w:autoSpaceDN w:val="0"/>
              <w:adjustRightInd w:val="0"/>
              <w:jc w:val="center"/>
              <w:rPr>
                <w:rFonts w:ascii="Times New Roman" w:eastAsia="Times New Roman" w:hAnsi="Times New Roman" w:cs="Times New Roman"/>
                <w:sz w:val="24"/>
                <w:szCs w:val="24"/>
                <w:lang w:eastAsia="ru-RU"/>
              </w:rPr>
            </w:pPr>
            <w:bookmarkStart w:id="6" w:name="P726"/>
            <w:bookmarkEnd w:id="6"/>
          </w:p>
          <w:p w:rsidR="001C7993" w:rsidRPr="00D423B2" w:rsidRDefault="001C7993" w:rsidP="001C7993">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Объем добычи нефти, эксплуатационного бурения и ввода новых добывающих скважин</w:t>
            </w:r>
          </w:p>
          <w:p w:rsidR="001C7993" w:rsidRPr="00D423B2" w:rsidRDefault="001C7993" w:rsidP="00F751CB">
            <w:pPr>
              <w:widowControl w:val="0"/>
              <w:autoSpaceDE w:val="0"/>
              <w:autoSpaceDN w:val="0"/>
              <w:jc w:val="center"/>
              <w:rPr>
                <w:rFonts w:ascii="Times New Roman" w:eastAsia="Times New Roman" w:hAnsi="Times New Roman" w:cs="Times New Roman"/>
                <w:i/>
                <w:sz w:val="24"/>
                <w:szCs w:val="24"/>
                <w:lang w:eastAsia="ru-RU"/>
              </w:rPr>
            </w:pPr>
          </w:p>
          <w:p w:rsidR="001C7993" w:rsidRPr="00D423B2" w:rsidRDefault="001C7993" w:rsidP="001C7993">
            <w:pPr>
              <w:widowControl w:val="0"/>
              <w:autoSpaceDE w:val="0"/>
              <w:autoSpaceDN w:val="0"/>
              <w:jc w:val="center"/>
              <w:rPr>
                <w:rFonts w:ascii="Times New Roman" w:eastAsia="Times New Roman" w:hAnsi="Times New Roman" w:cs="Times New Roman"/>
                <w:i/>
                <w:sz w:val="24"/>
                <w:szCs w:val="24"/>
                <w:lang w:eastAsia="ru-RU"/>
              </w:rPr>
            </w:pPr>
            <w:r w:rsidRPr="00D423B2">
              <w:rPr>
                <w:rFonts w:ascii="Times New Roman" w:eastAsia="Times New Roman" w:hAnsi="Times New Roman" w:cs="Times New Roman"/>
                <w:i/>
                <w:sz w:val="24"/>
                <w:szCs w:val="24"/>
                <w:lang w:eastAsia="ru-RU"/>
              </w:rPr>
              <w:t>таблица 7 представлена в приложении</w:t>
            </w:r>
          </w:p>
          <w:p w:rsidR="002B76C2" w:rsidRPr="00D423B2" w:rsidRDefault="002B76C2" w:rsidP="002B76C2">
            <w:pPr>
              <w:autoSpaceDE w:val="0"/>
              <w:autoSpaceDN w:val="0"/>
              <w:adjustRightInd w:val="0"/>
              <w:rPr>
                <w:rFonts w:ascii="Times New Roman" w:eastAsia="Times New Roman" w:hAnsi="Times New Roman" w:cs="Times New Roman"/>
                <w:sz w:val="24"/>
                <w:szCs w:val="24"/>
                <w:lang w:eastAsia="ru-RU"/>
              </w:rPr>
            </w:pP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Ухудшение структуры запасов нефти по мере истощения действующих месторождений, малых размеров вновь открываемых месторождений, а также технологическое отставание от передового уровня в ряде </w:t>
            </w:r>
            <w:r w:rsidRPr="008C68A5">
              <w:rPr>
                <w:rFonts w:ascii="Times New Roman" w:eastAsia="Times New Roman" w:hAnsi="Times New Roman" w:cs="Times New Roman"/>
                <w:sz w:val="24"/>
                <w:szCs w:val="24"/>
                <w:lang w:eastAsia="ru-RU"/>
              </w:rPr>
              <w:lastRenderedPageBreak/>
              <w:t>направлений по извлечению трудноизвлекаемых запасов нефти (сланцевая, тяжелая) и чрезмерная ориентация на импорт некоторых видов оборудования, технологий, программного обеспечения (вместо развития собственной науки и инженерии) создают реальную угрозу энергетической безопасности топливно-энергетического комплекса Российской Федерации.</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В этих сложных условиях созданные в Республике Татарстан научно-технологические полигоны для апробации и объективной оценки эффективности техники и технологий российских производителей «Доманик» и «Битум», являются стратегической инициативой и должны дать импульс ускорению развития фундаментальных, прикладных научных исследований, созданию и внедрению новейшей отечественной техники и технологий разработки трудноизвлекаемых запасов нефти. Быстрое совершенствование нефтегазовых технологий стало за последнее десятилетие ключевым фактором развития нефтегазовой отрасли.</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Для отработки технологий разработки месторождений с трудноизвлекаемыми запасами создан научный полигон на Восточном борту Мелекесской впадины, включающий 18 месторождений с высоковязкой нефтью с трудноизвлекаемыми запасами.</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Опробованы и предложены для распространения и тиражирования следующие технологии:</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1) ЗАО «Карбон-ойл» создана система разработки Некрасовского месторождения с </w:t>
            </w:r>
            <w:r w:rsidRPr="008C68A5">
              <w:rPr>
                <w:rFonts w:ascii="Times New Roman" w:eastAsia="Times New Roman" w:hAnsi="Times New Roman" w:cs="Times New Roman"/>
                <w:sz w:val="24"/>
                <w:szCs w:val="24"/>
                <w:lang w:eastAsia="ru-RU"/>
              </w:rPr>
              <w:lastRenderedPageBreak/>
              <w:t xml:space="preserve">горизонтальными и многозабойными скважинами.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2) УК «Шешмаойл» изучен опыт проппантных гидроразрывов карбонатных пластов и влияния сетки скважин на нефтеотдачу пластов и объемы добычи нефти.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3) ЗАО «Татех» результаты гидродинамических исследований ООО «Черный ключ» позволили выбрать направление стволов скважин при горизонтальном бурении на Демкинском месторождении. Производится сгущение сетки скважин на Демкинском месторождении на турнейский ярус и бобриковский горизонт (в настоящее время 300Х300 по прямоугольной сетке).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4) АО «Татнефтепром-Зюзеевнефть» готовит Зюзеевское месторождение для применения тепловых методов, создается постоянно действующая геологическая модель, применяются горизонтальные скважины на Зюзеевском месторождении, на месторождениях ЗАО «Селенгушнефть», имеется возможность уплотнения сетки скважин по мере выработки отдельных пластов. Применяется метод обработки призабойной зоны (далее – ОПЗ) с предварительным восстановлением давления в прискважинной зоне, «циклический отбор и закачка».</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5) ЗАО «Предприятие «Кара-Алтын» детально и углубленно изучено Аканское месторождение с научной точки зрения. Привлечены научные силы Академии наук Республики Татарстан, Сибирского отделения Академии наук, получены результаты работы Плотниковой И.Н и Морозова В.М. по изучению </w:t>
            </w:r>
            <w:r w:rsidRPr="008C68A5">
              <w:rPr>
                <w:rFonts w:ascii="Times New Roman" w:eastAsia="Times New Roman" w:hAnsi="Times New Roman" w:cs="Times New Roman"/>
                <w:sz w:val="24"/>
                <w:szCs w:val="24"/>
                <w:lang w:eastAsia="ru-RU"/>
              </w:rPr>
              <w:lastRenderedPageBreak/>
              <w:t xml:space="preserve">керна (Академии наук Республики Татарстан), Алтуниной Л.К. по адаптации методов (реагентов) для воздействия на пласты и изоляции вертикальных трещин по Аканскому месторождению (Сибирское отделение Академии Наук Российской Федерации) и др.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6) ЗАО «Татнефтеотдача» в настоящее время ведет работу по подготовке Степно-озерского месторождения к применению тепловых методов.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7) АО «ГРИЦ» в целях эффективности применения технологии локального ГРП с зарядом газодинамического разрыва пласта обеспечило прирост дебитов</w:t>
            </w:r>
            <w:r w:rsidRPr="008C68A5">
              <w:rPr>
                <w:rFonts w:ascii="Times New Roman" w:eastAsia="Times New Roman" w:hAnsi="Times New Roman" w:cs="Times New Roman"/>
                <w:sz w:val="24"/>
                <w:szCs w:val="24"/>
                <w:lang w:eastAsia="ru-RU"/>
              </w:rPr>
              <w:br/>
              <w:t>2 – 3 тонны с продолжающимся эффектом.</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8) ГК «Ойлэкт» (ТНГК–Развитие) на Сунчелеевском месторождении применяются технологии высокоскоростной солянокислотной обработки (СКО), большеобъемной солянокислотной обработки (БСКО), внедряются технологии одновременно-раздельной эксплуатации ОРЭ на верей/башкирские отложения.</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В целом новые технологии разведки и разработки активно внедряются всеми МНК. За счет инноваций добывается 23 процента всей нефти МНК.</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Состояние работ по внедрению новых технологий в рамках «работы научного полигона для испытания МУН на Восточном борту Мелекесской впадины» рассмотрено на заседании Координационного совета МНК, и опыт работы МНК в рамках научного полигона признан положительным.</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lastRenderedPageBreak/>
              <w:t xml:space="preserve">Для проведения фундаментальных научно-исследовательских и опытно-промышленных работ по исследованию карбонатных и низкопроницаемых коллекторов с высоковязкими нефтями на месторождениях (технологии увеличения нефтеотдачи пластов с использованием газового, водогазового и парогазового, воздействия на пласт, а также применение закачки горячей воды) требуется государственная поддержка МНК (в первую очередь – на месторождениях научного полигона на Восточном борту Мелекесской впадины).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Первоочередные резервы прироста запасов и добычи нефти в Республике Татарстан приведены в </w:t>
            </w:r>
            <w:hyperlink w:anchor="P968" w:history="1">
              <w:r w:rsidRPr="008C68A5">
                <w:rPr>
                  <w:rStyle w:val="a9"/>
                  <w:rFonts w:ascii="Times New Roman" w:eastAsia="Times New Roman" w:hAnsi="Times New Roman" w:cs="Times New Roman"/>
                  <w:color w:val="000000" w:themeColor="text1"/>
                  <w:sz w:val="24"/>
                  <w:szCs w:val="24"/>
                  <w:u w:val="none"/>
                  <w:lang w:eastAsia="ru-RU"/>
                </w:rPr>
                <w:t>таблице 8</w:t>
              </w:r>
            </w:hyperlink>
            <w:r w:rsidRPr="008C68A5">
              <w:rPr>
                <w:rFonts w:ascii="Times New Roman" w:eastAsia="Times New Roman" w:hAnsi="Times New Roman" w:cs="Times New Roman"/>
                <w:color w:val="000000" w:themeColor="text1"/>
                <w:sz w:val="24"/>
                <w:szCs w:val="24"/>
                <w:lang w:eastAsia="ru-RU"/>
              </w:rPr>
              <w:t>.</w:t>
            </w:r>
          </w:p>
          <w:p w:rsidR="001C7993" w:rsidRPr="00D423B2" w:rsidRDefault="001C7993" w:rsidP="001C7993">
            <w:pPr>
              <w:autoSpaceDE w:val="0"/>
              <w:autoSpaceDN w:val="0"/>
              <w:adjustRightInd w:val="0"/>
              <w:jc w:val="both"/>
              <w:rPr>
                <w:rFonts w:ascii="Times New Roman" w:eastAsia="Times New Roman" w:hAnsi="Times New Roman" w:cs="Times New Roman"/>
                <w:sz w:val="24"/>
                <w:szCs w:val="24"/>
                <w:lang w:eastAsia="ru-RU"/>
              </w:rPr>
            </w:pPr>
          </w:p>
          <w:p w:rsidR="001C7993" w:rsidRPr="00D423B2" w:rsidRDefault="00F47AAF" w:rsidP="001C7993">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1C7993" w:rsidRPr="00D423B2">
              <w:rPr>
                <w:rFonts w:ascii="Times New Roman" w:eastAsia="Times New Roman" w:hAnsi="Times New Roman" w:cs="Times New Roman"/>
                <w:sz w:val="24"/>
                <w:szCs w:val="24"/>
                <w:lang w:eastAsia="ru-RU"/>
              </w:rPr>
              <w:t>8</w:t>
            </w:r>
          </w:p>
          <w:p w:rsidR="001C7993" w:rsidRPr="00D423B2" w:rsidRDefault="001C7993" w:rsidP="001C7993">
            <w:pPr>
              <w:autoSpaceDE w:val="0"/>
              <w:autoSpaceDN w:val="0"/>
              <w:adjustRightInd w:val="0"/>
              <w:jc w:val="both"/>
              <w:rPr>
                <w:rFonts w:ascii="Times New Roman" w:eastAsia="Times New Roman" w:hAnsi="Times New Roman" w:cs="Times New Roman"/>
                <w:sz w:val="24"/>
                <w:szCs w:val="24"/>
                <w:lang w:eastAsia="ru-RU"/>
              </w:rPr>
            </w:pPr>
          </w:p>
          <w:p w:rsidR="001C7993" w:rsidRPr="00D423B2" w:rsidRDefault="001C7993" w:rsidP="00C74458">
            <w:pPr>
              <w:autoSpaceDE w:val="0"/>
              <w:autoSpaceDN w:val="0"/>
              <w:adjustRightInd w:val="0"/>
              <w:jc w:val="center"/>
              <w:rPr>
                <w:rFonts w:ascii="Times New Roman" w:eastAsia="Times New Roman" w:hAnsi="Times New Roman" w:cs="Times New Roman"/>
                <w:sz w:val="24"/>
                <w:szCs w:val="24"/>
                <w:lang w:eastAsia="ru-RU"/>
              </w:rPr>
            </w:pPr>
            <w:bookmarkStart w:id="7" w:name="P968"/>
            <w:bookmarkEnd w:id="7"/>
            <w:r w:rsidRPr="00D423B2">
              <w:rPr>
                <w:rFonts w:ascii="Times New Roman" w:eastAsia="Times New Roman" w:hAnsi="Times New Roman" w:cs="Times New Roman"/>
                <w:sz w:val="24"/>
                <w:szCs w:val="24"/>
                <w:lang w:eastAsia="ru-RU"/>
              </w:rPr>
              <w:t>Потенциал увеличения запасов углеводородов и нефтедобычи</w:t>
            </w:r>
            <w:r w:rsidR="00C74458" w:rsidRPr="00D423B2">
              <w:rPr>
                <w:rFonts w:ascii="Times New Roman" w:eastAsia="Times New Roman" w:hAnsi="Times New Roman" w:cs="Times New Roman"/>
                <w:sz w:val="24"/>
                <w:szCs w:val="24"/>
                <w:lang w:eastAsia="ru-RU"/>
              </w:rPr>
              <w:t xml:space="preserve"> </w:t>
            </w:r>
            <w:r w:rsidRPr="00D423B2">
              <w:rPr>
                <w:rFonts w:ascii="Times New Roman" w:eastAsia="Times New Roman" w:hAnsi="Times New Roman" w:cs="Times New Roman"/>
                <w:sz w:val="24"/>
                <w:szCs w:val="24"/>
                <w:lang w:eastAsia="ru-RU"/>
              </w:rPr>
              <w:t>в Республике Татарстан</w:t>
            </w:r>
          </w:p>
          <w:p w:rsidR="00036314" w:rsidRDefault="00036314" w:rsidP="00145F03">
            <w:pPr>
              <w:autoSpaceDE w:val="0"/>
              <w:autoSpaceDN w:val="0"/>
              <w:adjustRightInd w:val="0"/>
              <w:ind w:firstLine="709"/>
              <w:jc w:val="both"/>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3405"/>
              <w:gridCol w:w="1613"/>
            </w:tblGrid>
            <w:tr w:rsidR="004D6FB3" w:rsidRPr="00EE54D2" w:rsidTr="00062936">
              <w:tc>
                <w:tcPr>
                  <w:tcW w:w="3393" w:type="pct"/>
                </w:tcPr>
                <w:p w:rsidR="004D6FB3" w:rsidRPr="004D6FB3" w:rsidRDefault="004D6FB3" w:rsidP="004D6FB3">
                  <w:pPr>
                    <w:pStyle w:val="ConsPlusNormal"/>
                    <w:spacing w:before="60" w:after="60"/>
                    <w:jc w:val="center"/>
                    <w:rPr>
                      <w:rFonts w:ascii="Times New Roman" w:hAnsi="Times New Roman" w:cs="Times New Roman"/>
                      <w:sz w:val="16"/>
                      <w:szCs w:val="16"/>
                    </w:rPr>
                  </w:pPr>
                  <w:r w:rsidRPr="004D6FB3">
                    <w:rPr>
                      <w:rFonts w:ascii="Times New Roman" w:hAnsi="Times New Roman" w:cs="Times New Roman"/>
                      <w:sz w:val="16"/>
                      <w:szCs w:val="16"/>
                    </w:rPr>
                    <w:t>Мероприятия и ресурсы</w:t>
                  </w:r>
                </w:p>
              </w:tc>
              <w:tc>
                <w:tcPr>
                  <w:tcW w:w="1607" w:type="pct"/>
                </w:tcPr>
                <w:p w:rsidR="004D6FB3" w:rsidRPr="004D6FB3" w:rsidRDefault="004D6FB3" w:rsidP="004D6FB3">
                  <w:pPr>
                    <w:pStyle w:val="ConsPlusNormal"/>
                    <w:spacing w:before="60" w:after="60"/>
                    <w:jc w:val="center"/>
                    <w:rPr>
                      <w:rFonts w:ascii="Times New Roman" w:hAnsi="Times New Roman" w:cs="Times New Roman"/>
                      <w:sz w:val="16"/>
                      <w:szCs w:val="16"/>
                    </w:rPr>
                  </w:pPr>
                  <w:r w:rsidRPr="004D6FB3">
                    <w:rPr>
                      <w:rFonts w:ascii="Times New Roman" w:hAnsi="Times New Roman" w:cs="Times New Roman"/>
                      <w:sz w:val="16"/>
                      <w:szCs w:val="16"/>
                    </w:rPr>
                    <w:t>Ожидаемые результаты</w:t>
                  </w:r>
                </w:p>
              </w:tc>
            </w:tr>
            <w:tr w:rsidR="004D6FB3" w:rsidRPr="00EE54D2" w:rsidTr="00062936">
              <w:tc>
                <w:tcPr>
                  <w:tcW w:w="5000" w:type="pct"/>
                  <w:gridSpan w:val="2"/>
                </w:tcPr>
                <w:p w:rsidR="004D6FB3" w:rsidRPr="004D6FB3" w:rsidRDefault="004D6FB3" w:rsidP="004D6FB3">
                  <w:pPr>
                    <w:pStyle w:val="ConsPlusNormal"/>
                    <w:spacing w:before="60" w:after="60"/>
                    <w:jc w:val="center"/>
                    <w:outlineLvl w:val="4"/>
                    <w:rPr>
                      <w:rFonts w:ascii="Times New Roman" w:hAnsi="Times New Roman" w:cs="Times New Roman"/>
                      <w:sz w:val="16"/>
                      <w:szCs w:val="16"/>
                    </w:rPr>
                  </w:pPr>
                  <w:r w:rsidRPr="004D6FB3">
                    <w:rPr>
                      <w:rFonts w:ascii="Times New Roman" w:hAnsi="Times New Roman" w:cs="Times New Roman"/>
                      <w:sz w:val="16"/>
                      <w:szCs w:val="16"/>
                    </w:rPr>
                    <w:t>Традиционные нефтяные объекты</w:t>
                  </w:r>
                </w:p>
              </w:tc>
            </w:tr>
            <w:tr w:rsidR="004D6FB3" w:rsidRPr="00EE54D2" w:rsidTr="00062936">
              <w:tc>
                <w:tcPr>
                  <w:tcW w:w="3393" w:type="pct"/>
                </w:tcPr>
                <w:p w:rsidR="004D6FB3" w:rsidRPr="004D6FB3" w:rsidRDefault="004D6FB3" w:rsidP="004D6FB3">
                  <w:pPr>
                    <w:pStyle w:val="ConsPlusNormal"/>
                    <w:spacing w:before="60" w:after="60"/>
                    <w:jc w:val="both"/>
                    <w:rPr>
                      <w:rFonts w:ascii="Times New Roman" w:hAnsi="Times New Roman" w:cs="Times New Roman"/>
                      <w:sz w:val="16"/>
                      <w:szCs w:val="16"/>
                    </w:rPr>
                  </w:pPr>
                  <w:r w:rsidRPr="004D6FB3">
                    <w:rPr>
                      <w:rFonts w:ascii="Times New Roman" w:hAnsi="Times New Roman" w:cs="Times New Roman"/>
                      <w:sz w:val="16"/>
                      <w:szCs w:val="16"/>
                    </w:rPr>
                    <w:t>Инновационное проектирование разработки</w:t>
                  </w:r>
                </w:p>
              </w:tc>
              <w:tc>
                <w:tcPr>
                  <w:tcW w:w="1607" w:type="pct"/>
                </w:tcPr>
                <w:p w:rsidR="004D6FB3" w:rsidRPr="004D6FB3" w:rsidRDefault="004D6FB3" w:rsidP="004D6FB3">
                  <w:pPr>
                    <w:pStyle w:val="ConsPlusNormal"/>
                    <w:spacing w:before="60" w:after="60"/>
                    <w:rPr>
                      <w:rFonts w:ascii="Times New Roman" w:hAnsi="Times New Roman" w:cs="Times New Roman"/>
                      <w:sz w:val="16"/>
                      <w:szCs w:val="16"/>
                    </w:rPr>
                  </w:pPr>
                </w:p>
              </w:tc>
            </w:tr>
            <w:tr w:rsidR="004D6FB3" w:rsidRPr="00EE54D2" w:rsidTr="00062936">
              <w:tc>
                <w:tcPr>
                  <w:tcW w:w="3393" w:type="pct"/>
                </w:tcPr>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По крупнейшим месторождениям, находящимся на поздней стадии разработки:</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применение новых методов геологических исследований пород и пластовых флюидов, новых методов геофизических и гидродинамических интерпретаций скважин;</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создание новых геолого-гидродинамических моделей;</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применение новых систем разработки;</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 xml:space="preserve">внедрение новейших МУН на высокообводненных участках залежи, специальных режимов эксплуатации, автоматизированных систем контроля и учета </w:t>
                  </w:r>
                  <w:r w:rsidRPr="004D6FB3">
                    <w:rPr>
                      <w:rFonts w:ascii="Times New Roman" w:hAnsi="Times New Roman" w:cs="Times New Roman"/>
                      <w:sz w:val="16"/>
                      <w:szCs w:val="16"/>
                    </w:rPr>
                    <w:lastRenderedPageBreak/>
                    <w:t>водопотребления;</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разработка способов извлечения части остаточных запасов нефти</w:t>
                  </w:r>
                </w:p>
              </w:tc>
              <w:tc>
                <w:tcPr>
                  <w:tcW w:w="1607" w:type="pct"/>
                </w:tcPr>
                <w:p w:rsidR="004D6FB3" w:rsidRPr="004D6FB3" w:rsidRDefault="004D6FB3" w:rsidP="004D6FB3">
                  <w:pPr>
                    <w:pStyle w:val="ConsPlusNormal"/>
                    <w:spacing w:before="60" w:after="60"/>
                    <w:jc w:val="both"/>
                    <w:rPr>
                      <w:rFonts w:ascii="Times New Roman" w:hAnsi="Times New Roman" w:cs="Times New Roman"/>
                      <w:sz w:val="16"/>
                      <w:szCs w:val="16"/>
                    </w:rPr>
                  </w:pPr>
                  <w:r w:rsidRPr="004D6FB3">
                    <w:rPr>
                      <w:rFonts w:ascii="Times New Roman" w:hAnsi="Times New Roman" w:cs="Times New Roman"/>
                      <w:sz w:val="16"/>
                      <w:szCs w:val="16"/>
                    </w:rPr>
                    <w:lastRenderedPageBreak/>
                    <w:t>Прирост извлекаемых запасов около 1 млрд тонн. Увеличение КИН с 0,4 – 0,5 до 0,6 – 0,7</w:t>
                  </w:r>
                </w:p>
              </w:tc>
            </w:tr>
            <w:tr w:rsidR="004D6FB3" w:rsidRPr="00EE54D2" w:rsidTr="00062936">
              <w:tc>
                <w:tcPr>
                  <w:tcW w:w="3393" w:type="pct"/>
                </w:tcPr>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По мелким и средним месторождениям, дающим более 38 процентов добычи Республике Татарстан:</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разработка залежей в карбонатных коллекторах (балансовые запасы – 2,6 млрд тонн, извлекаемые – 440 млн тонн, КИН – 0,17, от 0,11 до 0,25);</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разработка залежей нефти повышенной вязкости и высоковязких нефтей (КИН – от 0 до 0,3)</w:t>
                  </w:r>
                </w:p>
              </w:tc>
              <w:tc>
                <w:tcPr>
                  <w:tcW w:w="1607" w:type="pct"/>
                </w:tcPr>
                <w:p w:rsidR="004D6FB3" w:rsidRPr="004D6FB3" w:rsidRDefault="004D6FB3" w:rsidP="004D6FB3">
                  <w:pPr>
                    <w:pStyle w:val="ConsPlusNormal"/>
                    <w:spacing w:before="60" w:after="60"/>
                    <w:jc w:val="both"/>
                    <w:rPr>
                      <w:rFonts w:ascii="Times New Roman" w:hAnsi="Times New Roman" w:cs="Times New Roman"/>
                      <w:sz w:val="16"/>
                      <w:szCs w:val="16"/>
                    </w:rPr>
                  </w:pPr>
                  <w:r w:rsidRPr="004D6FB3">
                    <w:rPr>
                      <w:rFonts w:ascii="Times New Roman" w:hAnsi="Times New Roman" w:cs="Times New Roman"/>
                      <w:sz w:val="16"/>
                      <w:szCs w:val="16"/>
                    </w:rPr>
                    <w:t>Прирост извлекаемых запасов на 400 млн тонн. Увеличение КИН до 0,25 – 0,4</w:t>
                  </w:r>
                </w:p>
              </w:tc>
            </w:tr>
          </w:tbl>
          <w:p w:rsidR="00984B60" w:rsidRPr="00D423B2" w:rsidRDefault="00984B60" w:rsidP="00CA5295">
            <w:pPr>
              <w:autoSpaceDE w:val="0"/>
              <w:autoSpaceDN w:val="0"/>
              <w:adjustRightInd w:val="0"/>
              <w:jc w:val="both"/>
              <w:rPr>
                <w:rFonts w:ascii="Times New Roman" w:eastAsia="Times New Roman" w:hAnsi="Times New Roman" w:cs="Times New Roman"/>
                <w:sz w:val="24"/>
                <w:szCs w:val="24"/>
                <w:lang w:eastAsia="ru-RU"/>
              </w:rPr>
            </w:pPr>
          </w:p>
          <w:p w:rsidR="00C24BD6" w:rsidRPr="00D423B2" w:rsidRDefault="00C24BD6" w:rsidP="00C24BD6">
            <w:pPr>
              <w:autoSpaceDE w:val="0"/>
              <w:autoSpaceDN w:val="0"/>
              <w:adjustRightInd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3.4. Развитие нефтедобычи в Республике Татарстан</w:t>
            </w:r>
          </w:p>
          <w:p w:rsidR="00036314" w:rsidRPr="00D423B2" w:rsidRDefault="00036314" w:rsidP="00145F03">
            <w:pPr>
              <w:autoSpaceDE w:val="0"/>
              <w:autoSpaceDN w:val="0"/>
              <w:adjustRightInd w:val="0"/>
              <w:ind w:firstLine="709"/>
              <w:jc w:val="both"/>
              <w:rPr>
                <w:rFonts w:ascii="Times New Roman" w:eastAsia="Times New Roman" w:hAnsi="Times New Roman" w:cs="Times New Roman"/>
                <w:sz w:val="24"/>
                <w:szCs w:val="24"/>
                <w:lang w:eastAsia="ru-RU"/>
              </w:rPr>
            </w:pP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Дальнейшее развитие нефтедобычи на месторождениях, находящихся на поздней стадии разработки, связано с решением задач:</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повышения нефтеизвлечения дренируемых запасов;</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обеспечения ввода в активную разработку трудноизвлекаемых запасов нефти путем внедрения третичных методов увеличения нефтеотдачи пластов.</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Широкое применение осваиваемых нефтяными компаниями Татарстана технологий горизонтального бурения (горизонтальные скважины, разветвленные горизонтальные скважины, боковые стволы), бурения скважин по уплотненной сетке, одновременно-раздельной эксплуатации скважин и тепловых методов позволяют эффективно наращивать добычу нефти из дренируемых запасов.</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 xml:space="preserve">На малоэффективных месторождениях с трудноизвлекаемыми запасами нефти необходимы совершенно новые подходы к </w:t>
            </w:r>
            <w:r w:rsidRPr="00641803">
              <w:rPr>
                <w:rFonts w:ascii="Times New Roman" w:eastAsia="Times New Roman" w:hAnsi="Times New Roman" w:cs="Times New Roman"/>
                <w:sz w:val="24"/>
                <w:szCs w:val="24"/>
                <w:lang w:eastAsia="ru-RU"/>
              </w:rPr>
              <w:lastRenderedPageBreak/>
              <w:t>разработке. Главным условием обеспечения их рентабельной разработки является выделение оптимальных размеров эксплуатационных объектов с близкими коллекторскими свойствами, типом коллекторов и насыщающих их флюидов. В условиях Республики Татарстан наибольшее применение нашли разработанные специалистами Татарстана комплексные технологии повышения эффективности разработки залежей нефти:</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в слабопроницаемых и глинистых терригенных коллекторах;</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в терригенных коллекторах, содержащих ВВН;</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в карбонатных коллекторах.</w:t>
            </w:r>
          </w:p>
          <w:p w:rsid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Планируемые до 2030 года объемы дополнительной добычи нефти за счет МУН и ОПЗ показаны соответственно на</w:t>
            </w:r>
            <w:r w:rsidRPr="00641803">
              <w:rPr>
                <w:rFonts w:ascii="Times New Roman" w:eastAsia="Times New Roman" w:hAnsi="Times New Roman" w:cs="Times New Roman"/>
                <w:color w:val="000000" w:themeColor="text1"/>
                <w:sz w:val="24"/>
                <w:szCs w:val="24"/>
                <w:lang w:eastAsia="ru-RU"/>
              </w:rPr>
              <w:t xml:space="preserve"> </w:t>
            </w:r>
            <w:hyperlink w:anchor="P1002" w:history="1">
              <w:r w:rsidRPr="00641803">
                <w:rPr>
                  <w:rStyle w:val="a9"/>
                  <w:rFonts w:ascii="Times New Roman" w:eastAsia="Times New Roman" w:hAnsi="Times New Roman" w:cs="Times New Roman"/>
                  <w:color w:val="000000" w:themeColor="text1"/>
                  <w:sz w:val="24"/>
                  <w:szCs w:val="24"/>
                  <w:u w:val="none"/>
                  <w:lang w:eastAsia="ru-RU"/>
                </w:rPr>
                <w:t>рисунке 6</w:t>
              </w:r>
            </w:hyperlink>
            <w:r w:rsidRPr="00641803">
              <w:rPr>
                <w:rFonts w:ascii="Times New Roman" w:eastAsia="Times New Roman" w:hAnsi="Times New Roman" w:cs="Times New Roman"/>
                <w:sz w:val="24"/>
                <w:szCs w:val="24"/>
                <w:lang w:eastAsia="ru-RU"/>
              </w:rPr>
              <w:t>.</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p>
          <w:p w:rsidR="006F3B33" w:rsidRDefault="00641803" w:rsidP="00641803">
            <w:pPr>
              <w:autoSpaceDE w:val="0"/>
              <w:autoSpaceDN w:val="0"/>
              <w:adjustRightInd w:val="0"/>
              <w:jc w:val="both"/>
              <w:outlineLvl w:val="2"/>
              <w:rPr>
                <w:rFonts w:ascii="Times New Roman" w:eastAsia="Times New Roman" w:hAnsi="Times New Roman" w:cs="Times New Roman"/>
                <w:sz w:val="24"/>
                <w:szCs w:val="24"/>
                <w:lang w:eastAsia="ru-RU"/>
              </w:rPr>
            </w:pPr>
            <w:r w:rsidRPr="00641803">
              <w:rPr>
                <w:rFonts w:ascii="Times New Roman" w:eastAsia="Times New Roman" w:hAnsi="Times New Roman" w:cs="Times New Roman"/>
                <w:noProof/>
                <w:sz w:val="24"/>
                <w:szCs w:val="24"/>
                <w:lang w:eastAsia="ru-RU"/>
              </w:rPr>
              <w:drawing>
                <wp:inline distT="0" distB="0" distL="0" distR="0">
                  <wp:extent cx="2857500" cy="1714500"/>
                  <wp:effectExtent l="0" t="0" r="0" b="0"/>
                  <wp:docPr id="10" name="Рисунок 10" descr="Описание: base_23915_96336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base_23915_96336_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0" cy="1714500"/>
                          </a:xfrm>
                          <a:prstGeom prst="rect">
                            <a:avLst/>
                          </a:prstGeom>
                          <a:noFill/>
                          <a:ln>
                            <a:noFill/>
                          </a:ln>
                        </pic:spPr>
                      </pic:pic>
                    </a:graphicData>
                  </a:graphic>
                </wp:inline>
              </w:drawing>
            </w:r>
          </w:p>
          <w:p w:rsidR="00641803" w:rsidRPr="00641803" w:rsidRDefault="00641803" w:rsidP="00641803">
            <w:pPr>
              <w:autoSpaceDE w:val="0"/>
              <w:autoSpaceDN w:val="0"/>
              <w:adjustRightInd w:val="0"/>
              <w:jc w:val="center"/>
              <w:outlineLvl w:val="2"/>
              <w:rPr>
                <w:rFonts w:ascii="Times New Roman" w:eastAsia="Times New Roman" w:hAnsi="Times New Roman" w:cs="Times New Roman"/>
                <w:sz w:val="16"/>
                <w:szCs w:val="16"/>
                <w:lang w:eastAsia="ru-RU"/>
              </w:rPr>
            </w:pPr>
            <w:r w:rsidRPr="00641803">
              <w:rPr>
                <w:rFonts w:ascii="Times New Roman" w:eastAsia="Times New Roman" w:hAnsi="Times New Roman" w:cs="Times New Roman"/>
                <w:sz w:val="16"/>
                <w:szCs w:val="16"/>
                <w:lang w:eastAsia="ru-RU"/>
              </w:rPr>
              <w:t>Рис. 6. Планируемые до 2030 года объемы дополнительной</w:t>
            </w:r>
          </w:p>
          <w:p w:rsidR="00641803" w:rsidRPr="00641803" w:rsidRDefault="00641803" w:rsidP="00641803">
            <w:pPr>
              <w:autoSpaceDE w:val="0"/>
              <w:autoSpaceDN w:val="0"/>
              <w:adjustRightInd w:val="0"/>
              <w:jc w:val="center"/>
              <w:outlineLvl w:val="2"/>
              <w:rPr>
                <w:rFonts w:ascii="Times New Roman" w:eastAsia="Times New Roman" w:hAnsi="Times New Roman" w:cs="Times New Roman"/>
                <w:sz w:val="16"/>
                <w:szCs w:val="16"/>
                <w:lang w:eastAsia="ru-RU"/>
              </w:rPr>
            </w:pPr>
            <w:r w:rsidRPr="00641803">
              <w:rPr>
                <w:rFonts w:ascii="Times New Roman" w:eastAsia="Times New Roman" w:hAnsi="Times New Roman" w:cs="Times New Roman"/>
                <w:sz w:val="16"/>
                <w:szCs w:val="16"/>
                <w:lang w:eastAsia="ru-RU"/>
              </w:rPr>
              <w:t>добычи нефти за счет МУН и ОПЗ</w:t>
            </w:r>
          </w:p>
          <w:p w:rsidR="00641803" w:rsidRPr="00641803" w:rsidRDefault="00641803" w:rsidP="00641803">
            <w:pPr>
              <w:autoSpaceDE w:val="0"/>
              <w:autoSpaceDN w:val="0"/>
              <w:adjustRightInd w:val="0"/>
              <w:jc w:val="center"/>
              <w:outlineLvl w:val="2"/>
              <w:rPr>
                <w:rFonts w:ascii="Times New Roman" w:eastAsia="Times New Roman" w:hAnsi="Times New Roman" w:cs="Times New Roman"/>
                <w:sz w:val="16"/>
                <w:szCs w:val="16"/>
                <w:lang w:eastAsia="ru-RU"/>
              </w:rPr>
            </w:pPr>
          </w:p>
          <w:p w:rsidR="00641803" w:rsidRPr="00D423B2" w:rsidRDefault="00641803" w:rsidP="00641803">
            <w:pPr>
              <w:autoSpaceDE w:val="0"/>
              <w:autoSpaceDN w:val="0"/>
              <w:adjustRightInd w:val="0"/>
              <w:jc w:val="both"/>
              <w:outlineLvl w:val="2"/>
              <w:rPr>
                <w:rFonts w:ascii="Times New Roman" w:eastAsia="Times New Roman" w:hAnsi="Times New Roman" w:cs="Times New Roman"/>
                <w:sz w:val="24"/>
                <w:szCs w:val="24"/>
                <w:lang w:eastAsia="ru-RU"/>
              </w:rPr>
            </w:pPr>
          </w:p>
          <w:p w:rsidR="006F3B33" w:rsidRPr="00D423B2" w:rsidRDefault="006F3B33" w:rsidP="006F3B33">
            <w:pPr>
              <w:autoSpaceDE w:val="0"/>
              <w:autoSpaceDN w:val="0"/>
              <w:adjustRightInd w:val="0"/>
              <w:jc w:val="center"/>
              <w:outlineLvl w:val="2"/>
              <w:rPr>
                <w:rFonts w:ascii="Times New Roman" w:eastAsia="Times New Roman" w:hAnsi="Times New Roman" w:cs="Times New Roman"/>
                <w:b/>
                <w:sz w:val="24"/>
                <w:szCs w:val="24"/>
                <w:lang w:eastAsia="ru-RU"/>
              </w:rPr>
            </w:pPr>
          </w:p>
          <w:p w:rsidR="006F3B33" w:rsidRPr="00D423B2" w:rsidRDefault="006F3B33" w:rsidP="006F3B33">
            <w:pPr>
              <w:autoSpaceDE w:val="0"/>
              <w:autoSpaceDN w:val="0"/>
              <w:adjustRightInd w:val="0"/>
              <w:jc w:val="center"/>
              <w:outlineLvl w:val="2"/>
              <w:rPr>
                <w:rFonts w:ascii="Times New Roman" w:eastAsia="Times New Roman" w:hAnsi="Times New Roman" w:cs="Times New Roman"/>
                <w:b/>
                <w:sz w:val="24"/>
                <w:szCs w:val="24"/>
                <w:lang w:eastAsia="ru-RU"/>
              </w:rPr>
            </w:pPr>
          </w:p>
          <w:p w:rsidR="00716A28" w:rsidRPr="00D423B2" w:rsidRDefault="00716A28" w:rsidP="003D6F11">
            <w:pPr>
              <w:autoSpaceDE w:val="0"/>
              <w:autoSpaceDN w:val="0"/>
              <w:adjustRightInd w:val="0"/>
              <w:jc w:val="center"/>
              <w:outlineLvl w:val="2"/>
              <w:rPr>
                <w:rFonts w:ascii="Times New Roman" w:eastAsia="Times New Roman" w:hAnsi="Times New Roman" w:cs="Times New Roman"/>
                <w:sz w:val="16"/>
                <w:szCs w:val="16"/>
                <w:lang w:eastAsia="ru-RU"/>
              </w:rPr>
            </w:pPr>
          </w:p>
          <w:p w:rsidR="00DC137F" w:rsidRPr="00D423B2" w:rsidRDefault="00185995" w:rsidP="00B45381">
            <w:pPr>
              <w:autoSpaceDE w:val="0"/>
              <w:autoSpaceDN w:val="0"/>
              <w:adjustRightInd w:val="0"/>
              <w:ind w:firstLine="709"/>
              <w:jc w:val="both"/>
              <w:rPr>
                <w:rFonts w:ascii="Times New Roman" w:eastAsia="Times New Roman" w:hAnsi="Times New Roman" w:cs="Times New Roman"/>
                <w:sz w:val="24"/>
                <w:szCs w:val="24"/>
                <w:lang w:eastAsia="ru-RU"/>
              </w:rPr>
            </w:pPr>
            <w:r w:rsidRPr="00185995">
              <w:rPr>
                <w:rFonts w:ascii="Times New Roman" w:eastAsia="Times New Roman" w:hAnsi="Times New Roman" w:cs="Times New Roman"/>
                <w:sz w:val="24"/>
                <w:szCs w:val="24"/>
                <w:lang w:eastAsia="ru-RU"/>
              </w:rPr>
              <w:lastRenderedPageBreak/>
              <w:t xml:space="preserve">На </w:t>
            </w:r>
            <w:hyperlink w:anchor="P1009" w:history="1">
              <w:r w:rsidRPr="00185995">
                <w:rPr>
                  <w:rStyle w:val="a9"/>
                  <w:rFonts w:ascii="Times New Roman" w:eastAsia="Times New Roman" w:hAnsi="Times New Roman" w:cs="Times New Roman"/>
                  <w:color w:val="000000" w:themeColor="text1"/>
                  <w:sz w:val="24"/>
                  <w:szCs w:val="24"/>
                  <w:u w:val="none"/>
                  <w:lang w:eastAsia="ru-RU"/>
                </w:rPr>
                <w:t>рисунке 7</w:t>
              </w:r>
            </w:hyperlink>
            <w:r w:rsidRPr="00185995">
              <w:rPr>
                <w:rFonts w:ascii="Times New Roman" w:eastAsia="Times New Roman" w:hAnsi="Times New Roman" w:cs="Times New Roman"/>
                <w:sz w:val="24"/>
                <w:szCs w:val="24"/>
                <w:lang w:eastAsia="ru-RU"/>
              </w:rPr>
              <w:t xml:space="preserve"> приведены направления обеспечения воспроизводства запасов по МНК до 2030 года.</w:t>
            </w:r>
          </w:p>
          <w:p w:rsidR="00DC137F" w:rsidRPr="00D423B2" w:rsidRDefault="00DC137F" w:rsidP="00716A28">
            <w:pPr>
              <w:autoSpaceDE w:val="0"/>
              <w:autoSpaceDN w:val="0"/>
              <w:adjustRightInd w:val="0"/>
              <w:ind w:firstLine="709"/>
              <w:jc w:val="both"/>
              <w:rPr>
                <w:rFonts w:ascii="Times New Roman" w:eastAsia="Times New Roman" w:hAnsi="Times New Roman" w:cs="Times New Roman"/>
                <w:sz w:val="24"/>
                <w:szCs w:val="24"/>
                <w:lang w:eastAsia="ru-RU"/>
              </w:rPr>
            </w:pPr>
          </w:p>
          <w:p w:rsidR="00DC137F" w:rsidRPr="00D423B2" w:rsidRDefault="00DC137F" w:rsidP="00716A28">
            <w:pPr>
              <w:autoSpaceDE w:val="0"/>
              <w:autoSpaceDN w:val="0"/>
              <w:adjustRightInd w:val="0"/>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4FA78686" wp14:editId="68E0A788">
                  <wp:extent cx="2371090" cy="1191723"/>
                  <wp:effectExtent l="0" t="0" r="0" b="889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02600" cy="1207560"/>
                          </a:xfrm>
                          <a:prstGeom prst="rect">
                            <a:avLst/>
                          </a:prstGeom>
                          <a:noFill/>
                        </pic:spPr>
                      </pic:pic>
                    </a:graphicData>
                  </a:graphic>
                </wp:inline>
              </w:drawing>
            </w:r>
          </w:p>
          <w:p w:rsidR="00DC137F" w:rsidRPr="00D423B2" w:rsidRDefault="00DC137F" w:rsidP="00716A28">
            <w:pPr>
              <w:autoSpaceDE w:val="0"/>
              <w:autoSpaceDN w:val="0"/>
              <w:adjustRightInd w:val="0"/>
              <w:ind w:firstLine="709"/>
              <w:jc w:val="both"/>
              <w:rPr>
                <w:rFonts w:ascii="Times New Roman" w:eastAsia="Times New Roman" w:hAnsi="Times New Roman" w:cs="Times New Roman"/>
                <w:sz w:val="24"/>
                <w:szCs w:val="24"/>
                <w:lang w:eastAsia="ru-RU"/>
              </w:rPr>
            </w:pPr>
          </w:p>
          <w:p w:rsidR="005D42B9" w:rsidRPr="005D42B9" w:rsidRDefault="005D42B9" w:rsidP="005D42B9">
            <w:pPr>
              <w:autoSpaceDE w:val="0"/>
              <w:autoSpaceDN w:val="0"/>
              <w:adjustRightInd w:val="0"/>
              <w:jc w:val="center"/>
              <w:rPr>
                <w:rFonts w:ascii="Times New Roman" w:eastAsia="Times New Roman" w:hAnsi="Times New Roman" w:cs="Times New Roman"/>
                <w:sz w:val="16"/>
                <w:szCs w:val="16"/>
                <w:lang w:eastAsia="ru-RU"/>
              </w:rPr>
            </w:pPr>
            <w:r w:rsidRPr="005D42B9">
              <w:rPr>
                <w:rFonts w:ascii="Times New Roman" w:eastAsia="Times New Roman" w:hAnsi="Times New Roman" w:cs="Times New Roman"/>
                <w:sz w:val="16"/>
                <w:szCs w:val="16"/>
                <w:lang w:eastAsia="ru-RU"/>
              </w:rPr>
              <w:t>Рис. 7. Направления обеспечения воспроизводства запасов по МНК</w:t>
            </w:r>
          </w:p>
          <w:p w:rsidR="00716A28" w:rsidRPr="00D423B2" w:rsidRDefault="00716A28" w:rsidP="003D6F11">
            <w:pPr>
              <w:autoSpaceDE w:val="0"/>
              <w:autoSpaceDN w:val="0"/>
              <w:adjustRightInd w:val="0"/>
              <w:jc w:val="center"/>
              <w:outlineLvl w:val="2"/>
              <w:rPr>
                <w:rFonts w:ascii="Times New Roman" w:eastAsia="Times New Roman" w:hAnsi="Times New Roman" w:cs="Times New Roman"/>
                <w:b/>
                <w:sz w:val="24"/>
                <w:szCs w:val="24"/>
                <w:lang w:eastAsia="ru-RU"/>
              </w:rPr>
            </w:pPr>
          </w:p>
          <w:p w:rsidR="00F26B05" w:rsidRPr="00D423B2" w:rsidRDefault="00F26B05" w:rsidP="00F26B05">
            <w:pPr>
              <w:autoSpaceDE w:val="0"/>
              <w:autoSpaceDN w:val="0"/>
              <w:adjustRightInd w:val="0"/>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Перспективный объем добычи нефти, по экспертным данным Академии наук Республики Татарстан, в целом по республике, по ПАО «Татнефть» и МНК представлен на </w:t>
            </w:r>
            <w:hyperlink w:anchor="P1016" w:history="1">
              <w:r w:rsidRPr="00D423B2">
                <w:rPr>
                  <w:rFonts w:ascii="Times New Roman" w:eastAsia="Times New Roman" w:hAnsi="Times New Roman" w:cs="Times New Roman"/>
                  <w:sz w:val="24"/>
                  <w:szCs w:val="24"/>
                  <w:lang w:eastAsia="ru-RU"/>
                </w:rPr>
                <w:t>рисунке 9</w:t>
              </w:r>
            </w:hyperlink>
            <w:r w:rsidRPr="00D423B2">
              <w:rPr>
                <w:rFonts w:ascii="Times New Roman" w:eastAsia="Times New Roman" w:hAnsi="Times New Roman" w:cs="Times New Roman"/>
                <w:sz w:val="24"/>
                <w:szCs w:val="24"/>
                <w:lang w:eastAsia="ru-RU"/>
              </w:rPr>
              <w:t xml:space="preserve">. </w:t>
            </w:r>
          </w:p>
          <w:p w:rsidR="00613C4D" w:rsidRPr="00D423B2" w:rsidRDefault="00613C4D" w:rsidP="00F26B05">
            <w:pPr>
              <w:autoSpaceDE w:val="0"/>
              <w:autoSpaceDN w:val="0"/>
              <w:adjustRightInd w:val="0"/>
              <w:ind w:firstLine="709"/>
              <w:jc w:val="both"/>
              <w:rPr>
                <w:rFonts w:ascii="Times New Roman" w:eastAsia="Times New Roman" w:hAnsi="Times New Roman" w:cs="Times New Roman"/>
                <w:sz w:val="24"/>
                <w:szCs w:val="24"/>
                <w:lang w:eastAsia="ru-RU"/>
              </w:rPr>
            </w:pPr>
          </w:p>
          <w:p w:rsidR="00921DED" w:rsidRPr="00D423B2" w:rsidRDefault="00085877" w:rsidP="003D6F11">
            <w:pPr>
              <w:autoSpaceDE w:val="0"/>
              <w:autoSpaceDN w:val="0"/>
              <w:adjustRightInd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noProof/>
                <w:sz w:val="24"/>
                <w:szCs w:val="24"/>
                <w:lang w:eastAsia="ru-RU"/>
              </w:rPr>
              <w:drawing>
                <wp:inline distT="0" distB="0" distL="0" distR="0" wp14:anchorId="0D87F8FB" wp14:editId="3467703A">
                  <wp:extent cx="2590800" cy="1379493"/>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12887" cy="1391253"/>
                          </a:xfrm>
                          <a:prstGeom prst="rect">
                            <a:avLst/>
                          </a:prstGeom>
                          <a:noFill/>
                        </pic:spPr>
                      </pic:pic>
                    </a:graphicData>
                  </a:graphic>
                </wp:inline>
              </w:drawing>
            </w:r>
          </w:p>
          <w:p w:rsidR="001D7D2C" w:rsidRPr="00D423B2" w:rsidRDefault="001D7D2C" w:rsidP="003D6F11">
            <w:pPr>
              <w:autoSpaceDE w:val="0"/>
              <w:autoSpaceDN w:val="0"/>
              <w:adjustRightInd w:val="0"/>
              <w:jc w:val="center"/>
              <w:outlineLvl w:val="2"/>
              <w:rPr>
                <w:rFonts w:ascii="Times New Roman" w:eastAsia="Times New Roman" w:hAnsi="Times New Roman" w:cs="Times New Roman"/>
                <w:b/>
                <w:sz w:val="24"/>
                <w:szCs w:val="24"/>
                <w:lang w:eastAsia="ru-RU"/>
              </w:rPr>
            </w:pPr>
          </w:p>
          <w:p w:rsidR="00241E5E" w:rsidRPr="00241E5E" w:rsidRDefault="00241E5E" w:rsidP="00241E5E">
            <w:pPr>
              <w:autoSpaceDE w:val="0"/>
              <w:autoSpaceDN w:val="0"/>
              <w:adjustRightInd w:val="0"/>
              <w:jc w:val="center"/>
              <w:outlineLvl w:val="2"/>
              <w:rPr>
                <w:rFonts w:ascii="Times New Roman" w:eastAsia="Times New Roman" w:hAnsi="Times New Roman" w:cs="Times New Roman"/>
                <w:sz w:val="16"/>
                <w:szCs w:val="16"/>
                <w:lang w:eastAsia="ru-RU"/>
              </w:rPr>
            </w:pPr>
            <w:r w:rsidRPr="00241E5E">
              <w:rPr>
                <w:rFonts w:ascii="Times New Roman" w:eastAsia="Times New Roman" w:hAnsi="Times New Roman" w:cs="Times New Roman"/>
                <w:sz w:val="16"/>
                <w:szCs w:val="16"/>
                <w:lang w:eastAsia="ru-RU"/>
              </w:rPr>
              <w:t>Рис. 8. Добыча нефти по Республике Татарстан до 2030 года, млн тонн</w:t>
            </w:r>
          </w:p>
          <w:p w:rsidR="00841C90" w:rsidRPr="00D423B2" w:rsidRDefault="00841C90" w:rsidP="003D6F11">
            <w:pPr>
              <w:autoSpaceDE w:val="0"/>
              <w:autoSpaceDN w:val="0"/>
              <w:adjustRightInd w:val="0"/>
              <w:jc w:val="center"/>
              <w:outlineLvl w:val="2"/>
              <w:rPr>
                <w:rFonts w:ascii="Times New Roman" w:eastAsia="Times New Roman" w:hAnsi="Times New Roman" w:cs="Times New Roman"/>
                <w:sz w:val="24"/>
                <w:szCs w:val="24"/>
                <w:lang w:eastAsia="ru-RU"/>
              </w:rPr>
            </w:pP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В целях обеспечения устойчивой нефтедобычи, расширенного воспроизводства запасов углеводородного сырья необходимо:</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 xml:space="preserve">провести всем МНК детальный анализ фактического состояния дел с приростом запасов за счет ГРР, повышения КИН, определив </w:t>
            </w:r>
            <w:r w:rsidRPr="00241E5E">
              <w:rPr>
                <w:rFonts w:ascii="Times New Roman" w:eastAsia="Times New Roman" w:hAnsi="Times New Roman" w:cs="Times New Roman"/>
                <w:sz w:val="24"/>
                <w:szCs w:val="24"/>
                <w:lang w:eastAsia="ru-RU"/>
              </w:rPr>
              <w:lastRenderedPageBreak/>
              <w:t>реальные приросты за счет ГРР и реальные извлекаемые запасы при выполнении принятых проектных решений по имеющимся методам;</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провести детальный анализ извлекаемых запасов по месторождениям с дифференциацией их по выделенным группам и категориям;</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уточнить геолого-гидродинамические модели с новым подходом;</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запроектировать на этой основе новые системы разработки, обеспечивающие как минимум утвержденные значения КИН, либо более высокие с учетом новых инновационных подходов. Одновременно необходимо провести работу по объективной оценке дополнительной добычи отдельно за счет МУН и ОПЗ.</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 xml:space="preserve">Для определения адресной стратегии развития все МНК Республики Татарстан можно разделить на три категории </w:t>
            </w:r>
            <w:hyperlink w:anchor="P1030" w:history="1">
              <w:r w:rsidRPr="00241E5E">
                <w:rPr>
                  <w:rStyle w:val="a9"/>
                  <w:rFonts w:ascii="Times New Roman" w:eastAsia="Times New Roman" w:hAnsi="Times New Roman" w:cs="Times New Roman"/>
                  <w:color w:val="000000" w:themeColor="text1"/>
                  <w:sz w:val="24"/>
                  <w:szCs w:val="24"/>
                  <w:u w:val="none"/>
                  <w:lang w:eastAsia="ru-RU"/>
                </w:rPr>
                <w:t>(таблица 9)</w:t>
              </w:r>
            </w:hyperlink>
            <w:r w:rsidRPr="00241E5E">
              <w:rPr>
                <w:rFonts w:ascii="Times New Roman" w:eastAsia="Times New Roman" w:hAnsi="Times New Roman" w:cs="Times New Roman"/>
                <w:color w:val="000000" w:themeColor="text1"/>
                <w:sz w:val="24"/>
                <w:szCs w:val="24"/>
                <w:lang w:eastAsia="ru-RU"/>
              </w:rPr>
              <w:t>:</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низкие темпы разработки и достаточно высокая степень обеспеченности запасами нефти;</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сравнительно высокие темпы разработки при низкой обеспеченности запасами нефти;</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крайне низкие темпы разработки при высокой обеспеченности запасами нефти.</w:t>
            </w:r>
          </w:p>
          <w:p w:rsidR="00841C90" w:rsidRPr="00D423B2" w:rsidRDefault="00841C90" w:rsidP="003D6F11">
            <w:pPr>
              <w:autoSpaceDE w:val="0"/>
              <w:autoSpaceDN w:val="0"/>
              <w:adjustRightInd w:val="0"/>
              <w:jc w:val="center"/>
              <w:outlineLvl w:val="2"/>
              <w:rPr>
                <w:rFonts w:ascii="Times New Roman" w:eastAsia="Times New Roman" w:hAnsi="Times New Roman" w:cs="Times New Roman"/>
                <w:sz w:val="24"/>
                <w:szCs w:val="24"/>
                <w:lang w:eastAsia="ru-RU"/>
              </w:rPr>
            </w:pPr>
          </w:p>
          <w:p w:rsidR="00AB672D" w:rsidRPr="00D423B2" w:rsidRDefault="00B55882" w:rsidP="00AB672D">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AB672D" w:rsidRPr="00D423B2">
              <w:rPr>
                <w:rFonts w:ascii="Times New Roman" w:eastAsia="Times New Roman" w:hAnsi="Times New Roman" w:cs="Times New Roman"/>
                <w:sz w:val="24"/>
                <w:szCs w:val="24"/>
                <w:lang w:eastAsia="ru-RU"/>
              </w:rPr>
              <w:t>9</w:t>
            </w:r>
          </w:p>
          <w:p w:rsidR="00AB672D" w:rsidRPr="00D423B2" w:rsidRDefault="00AB672D" w:rsidP="00AB672D">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 </w:t>
            </w:r>
          </w:p>
          <w:p w:rsidR="00AB672D" w:rsidRPr="00D423B2" w:rsidRDefault="00AB672D" w:rsidP="00AB672D">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Характеристика МНК Республики Татарстан в разрезе категорий</w:t>
            </w:r>
          </w:p>
          <w:p w:rsidR="001A5BEB" w:rsidRPr="00D423B2" w:rsidRDefault="001A5BEB" w:rsidP="003D6F11">
            <w:pPr>
              <w:autoSpaceDE w:val="0"/>
              <w:autoSpaceDN w:val="0"/>
              <w:adjustRightInd w:val="0"/>
              <w:jc w:val="center"/>
              <w:outlineLvl w:val="2"/>
              <w:rPr>
                <w:rFonts w:ascii="Times New Roman" w:eastAsia="Times New Roman" w:hAnsi="Times New Roman" w:cs="Times New Roman"/>
                <w:i/>
                <w:sz w:val="24"/>
                <w:szCs w:val="24"/>
                <w:lang w:eastAsia="ru-RU"/>
              </w:rPr>
            </w:pPr>
          </w:p>
          <w:p w:rsidR="00AB672D" w:rsidRPr="00D423B2" w:rsidRDefault="001A5BEB" w:rsidP="003D6F11">
            <w:pPr>
              <w:autoSpaceDE w:val="0"/>
              <w:autoSpaceDN w:val="0"/>
              <w:adjustRightInd w:val="0"/>
              <w:jc w:val="center"/>
              <w:outlineLvl w:val="2"/>
              <w:rPr>
                <w:rFonts w:ascii="Times New Roman" w:eastAsia="Times New Roman" w:hAnsi="Times New Roman" w:cs="Times New Roman"/>
                <w:i/>
                <w:sz w:val="24"/>
                <w:szCs w:val="24"/>
                <w:lang w:eastAsia="ru-RU"/>
              </w:rPr>
            </w:pPr>
            <w:r w:rsidRPr="00D423B2">
              <w:rPr>
                <w:rFonts w:ascii="Times New Roman" w:eastAsia="Times New Roman" w:hAnsi="Times New Roman" w:cs="Times New Roman"/>
                <w:i/>
                <w:sz w:val="24"/>
                <w:szCs w:val="24"/>
                <w:lang w:eastAsia="ru-RU"/>
              </w:rPr>
              <w:t>таблица 9 представлена в приложении</w:t>
            </w:r>
          </w:p>
          <w:p w:rsidR="007F312D" w:rsidRPr="00D423B2" w:rsidRDefault="007F312D" w:rsidP="003D6F11">
            <w:pPr>
              <w:autoSpaceDE w:val="0"/>
              <w:autoSpaceDN w:val="0"/>
              <w:adjustRightInd w:val="0"/>
              <w:jc w:val="center"/>
              <w:outlineLvl w:val="2"/>
              <w:rPr>
                <w:rFonts w:ascii="Times New Roman" w:eastAsia="Times New Roman" w:hAnsi="Times New Roman" w:cs="Times New Roman"/>
                <w:i/>
                <w:sz w:val="24"/>
                <w:szCs w:val="24"/>
                <w:lang w:eastAsia="ru-RU"/>
              </w:rPr>
            </w:pPr>
          </w:p>
          <w:p w:rsidR="00062936" w:rsidRPr="00062936" w:rsidRDefault="00062936" w:rsidP="00062936">
            <w:pPr>
              <w:autoSpaceDE w:val="0"/>
              <w:autoSpaceDN w:val="0"/>
              <w:adjustRightInd w:val="0"/>
              <w:ind w:firstLine="709"/>
              <w:jc w:val="both"/>
              <w:rPr>
                <w:rFonts w:ascii="Times New Roman" w:eastAsia="Times New Roman" w:hAnsi="Times New Roman" w:cs="Times New Roman"/>
                <w:sz w:val="24"/>
                <w:szCs w:val="24"/>
                <w:lang w:eastAsia="ru-RU"/>
              </w:rPr>
            </w:pPr>
            <w:r w:rsidRPr="00062936">
              <w:rPr>
                <w:rFonts w:ascii="Times New Roman" w:eastAsia="Times New Roman" w:hAnsi="Times New Roman" w:cs="Times New Roman"/>
                <w:sz w:val="24"/>
                <w:szCs w:val="24"/>
                <w:lang w:eastAsia="ru-RU"/>
              </w:rPr>
              <w:t>Основной задачей первой группы МНК является работа по повышению темпов разработки эксплуатационных объектов до 5 – 6 процентов отбора от начальных извлекаемых запасов в год. Это может быть обеспечено за счет увеличения соотношения количества нагнетательных скважин к добывающим, широкого применения наиболее эффективных МУН и ОПЗ.</w:t>
            </w:r>
          </w:p>
          <w:p w:rsidR="00062936" w:rsidRPr="00062936" w:rsidRDefault="00062936" w:rsidP="00062936">
            <w:pPr>
              <w:autoSpaceDE w:val="0"/>
              <w:autoSpaceDN w:val="0"/>
              <w:adjustRightInd w:val="0"/>
              <w:ind w:firstLine="709"/>
              <w:jc w:val="both"/>
              <w:rPr>
                <w:rFonts w:ascii="Times New Roman" w:eastAsia="Times New Roman" w:hAnsi="Times New Roman" w:cs="Times New Roman"/>
                <w:sz w:val="24"/>
                <w:szCs w:val="24"/>
                <w:lang w:eastAsia="ru-RU"/>
              </w:rPr>
            </w:pPr>
            <w:r w:rsidRPr="00062936">
              <w:rPr>
                <w:rFonts w:ascii="Times New Roman" w:eastAsia="Times New Roman" w:hAnsi="Times New Roman" w:cs="Times New Roman"/>
                <w:sz w:val="24"/>
                <w:szCs w:val="24"/>
                <w:lang w:eastAsia="ru-RU"/>
              </w:rPr>
              <w:t>Для второй группы МНК наряду с выполнением запланированных объемов ГРР актуально применение МУН, наиболее адекватно соответствующих геологическому строению месторождений. В данном случае необходимо проведение анализа эффективности применения МУН в данных геологических условиях – выбор наиболее эффективных из них и составление специальных проектов их внедрения. Все это позволит увеличить извлекаемые запасы нефти. Одновременно необходимо пересмотреть фонд скважин для составления мероприятий по доразведке эксплуатируемых месторождений.</w:t>
            </w:r>
          </w:p>
          <w:p w:rsidR="00062936" w:rsidRPr="00062936" w:rsidRDefault="00062936" w:rsidP="00062936">
            <w:pPr>
              <w:autoSpaceDE w:val="0"/>
              <w:autoSpaceDN w:val="0"/>
              <w:adjustRightInd w:val="0"/>
              <w:ind w:firstLine="709"/>
              <w:jc w:val="both"/>
              <w:rPr>
                <w:rFonts w:ascii="Times New Roman" w:eastAsia="Times New Roman" w:hAnsi="Times New Roman" w:cs="Times New Roman"/>
                <w:sz w:val="24"/>
                <w:szCs w:val="24"/>
                <w:lang w:eastAsia="ru-RU"/>
              </w:rPr>
            </w:pPr>
            <w:r w:rsidRPr="00062936">
              <w:rPr>
                <w:rFonts w:ascii="Times New Roman" w:eastAsia="Times New Roman" w:hAnsi="Times New Roman" w:cs="Times New Roman"/>
                <w:sz w:val="24"/>
                <w:szCs w:val="24"/>
                <w:lang w:eastAsia="ru-RU"/>
              </w:rPr>
              <w:t>Третья группа МНК осваивает наиболее сложные месторождения. Здесь необходимо составление двух – трех проектов инновационной разработки с проведением фундаментальных исследований нефтевытеснения на материалах (керн, пластовые флюиды, пробуренные скважины) конкретных проблемных месторождений. По результатам этих работ можно будет сделать вывод о дальнейшей судьбе месторождений данной группы.</w:t>
            </w:r>
          </w:p>
          <w:p w:rsidR="002E5ADD" w:rsidRPr="00D423B2" w:rsidRDefault="002E5ADD" w:rsidP="007F312D">
            <w:pPr>
              <w:autoSpaceDE w:val="0"/>
              <w:autoSpaceDN w:val="0"/>
              <w:adjustRightInd w:val="0"/>
              <w:ind w:firstLine="709"/>
              <w:jc w:val="both"/>
              <w:rPr>
                <w:rFonts w:ascii="Times New Roman" w:eastAsia="Times New Roman" w:hAnsi="Times New Roman" w:cs="Times New Roman"/>
                <w:sz w:val="24"/>
                <w:szCs w:val="24"/>
                <w:lang w:eastAsia="ru-RU"/>
              </w:rPr>
            </w:pPr>
          </w:p>
          <w:p w:rsidR="002E5ADD" w:rsidRPr="00D423B2" w:rsidRDefault="002E5ADD" w:rsidP="002E5ADD">
            <w:pPr>
              <w:autoSpaceDE w:val="0"/>
              <w:autoSpaceDN w:val="0"/>
              <w:adjustRightInd w:val="0"/>
              <w:ind w:firstLine="709"/>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3.5. Проблемы и перспективы освоения месторождений нетрадиционных углеводородов Республики Татарстан</w:t>
            </w:r>
          </w:p>
          <w:p w:rsidR="001E0C46" w:rsidRPr="001E0C46" w:rsidRDefault="001E0C46" w:rsidP="001E0C46">
            <w:pPr>
              <w:autoSpaceDE w:val="0"/>
              <w:autoSpaceDN w:val="0"/>
              <w:adjustRightInd w:val="0"/>
              <w:ind w:firstLine="709"/>
              <w:jc w:val="both"/>
              <w:rPr>
                <w:rFonts w:ascii="Times New Roman" w:eastAsia="Times New Roman" w:hAnsi="Times New Roman" w:cs="Times New Roman"/>
                <w:sz w:val="24"/>
                <w:szCs w:val="24"/>
                <w:lang w:eastAsia="ru-RU"/>
              </w:rPr>
            </w:pPr>
            <w:r w:rsidRPr="001E0C46">
              <w:rPr>
                <w:rFonts w:ascii="Times New Roman" w:eastAsia="Times New Roman" w:hAnsi="Times New Roman" w:cs="Times New Roman"/>
                <w:sz w:val="24"/>
                <w:szCs w:val="24"/>
                <w:lang w:eastAsia="ru-RU"/>
              </w:rPr>
              <w:t>К категории нетрадиционных углеводородов относятся тяжелая нефть, природные битумы, битумоносные пески, нефтеносные сланцы. Кроме того, к этой категории относятся нетрадиционные ресурсы газа: угольные месторождения, водорастворенные газы, газы сланцевых и плотных формаций (рисунок 9). Мировые ресурсы нетрадиционных нефтей оцениваются в 1,3 – 1,4 трлн. тонн. Из них при существующих технологиях добычи может быть рентабельно извлечено до</w:t>
            </w:r>
            <w:r w:rsidRPr="001E0C46">
              <w:rPr>
                <w:rFonts w:ascii="Times New Roman" w:eastAsia="Times New Roman" w:hAnsi="Times New Roman" w:cs="Times New Roman"/>
                <w:sz w:val="24"/>
                <w:szCs w:val="24"/>
                <w:lang w:eastAsia="ru-RU"/>
              </w:rPr>
              <w:br/>
              <w:t>171,5 млрд тонн углеводородов.</w:t>
            </w:r>
          </w:p>
          <w:p w:rsidR="00FB4BAE" w:rsidRPr="00D423B2" w:rsidRDefault="00FB4BAE" w:rsidP="002E5ADD">
            <w:pPr>
              <w:autoSpaceDE w:val="0"/>
              <w:autoSpaceDN w:val="0"/>
              <w:adjustRightInd w:val="0"/>
              <w:ind w:firstLine="709"/>
              <w:jc w:val="both"/>
              <w:rPr>
                <w:rFonts w:ascii="Times New Roman" w:eastAsia="Times New Roman" w:hAnsi="Times New Roman" w:cs="Times New Roman"/>
                <w:sz w:val="24"/>
                <w:szCs w:val="24"/>
                <w:lang w:eastAsia="ru-RU"/>
              </w:rPr>
            </w:pPr>
          </w:p>
          <w:p w:rsidR="002E5ADD" w:rsidRPr="00D423B2" w:rsidRDefault="00FB4BAE" w:rsidP="00FB4BAE">
            <w:pPr>
              <w:autoSpaceDE w:val="0"/>
              <w:autoSpaceDN w:val="0"/>
              <w:adjustRightInd w:val="0"/>
              <w:ind w:firstLine="709"/>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7F494000" wp14:editId="38294586">
                  <wp:extent cx="1618615" cy="1104844"/>
                  <wp:effectExtent l="0" t="0" r="635" b="63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23131" cy="1107927"/>
                          </a:xfrm>
                          <a:prstGeom prst="rect">
                            <a:avLst/>
                          </a:prstGeom>
                          <a:noFill/>
                        </pic:spPr>
                      </pic:pic>
                    </a:graphicData>
                  </a:graphic>
                </wp:inline>
              </w:drawing>
            </w:r>
          </w:p>
          <w:p w:rsidR="00335D42" w:rsidRPr="00D423B2" w:rsidRDefault="00335D42" w:rsidP="00544215">
            <w:pPr>
              <w:autoSpaceDE w:val="0"/>
              <w:autoSpaceDN w:val="0"/>
              <w:adjustRightInd w:val="0"/>
              <w:ind w:firstLine="709"/>
              <w:jc w:val="both"/>
              <w:outlineLvl w:val="3"/>
              <w:rPr>
                <w:rFonts w:ascii="Times New Roman" w:eastAsia="Times New Roman" w:hAnsi="Times New Roman" w:cs="Times New Roman"/>
                <w:sz w:val="24"/>
                <w:szCs w:val="24"/>
                <w:lang w:eastAsia="ru-RU"/>
              </w:rPr>
            </w:pPr>
          </w:p>
          <w:p w:rsidR="001E0C46" w:rsidRPr="001E0C46" w:rsidRDefault="001E0C46" w:rsidP="001E0C46">
            <w:pPr>
              <w:autoSpaceDE w:val="0"/>
              <w:autoSpaceDN w:val="0"/>
              <w:adjustRightInd w:val="0"/>
              <w:jc w:val="center"/>
              <w:rPr>
                <w:rFonts w:ascii="Times New Roman" w:eastAsia="Times New Roman" w:hAnsi="Times New Roman" w:cs="Times New Roman"/>
                <w:sz w:val="16"/>
                <w:szCs w:val="16"/>
                <w:lang w:eastAsia="ru-RU"/>
              </w:rPr>
            </w:pPr>
            <w:r w:rsidRPr="001E0C46">
              <w:rPr>
                <w:rFonts w:ascii="Times New Roman" w:eastAsia="Times New Roman" w:hAnsi="Times New Roman" w:cs="Times New Roman"/>
                <w:sz w:val="16"/>
                <w:szCs w:val="16"/>
                <w:lang w:eastAsia="ru-RU"/>
              </w:rPr>
              <w:t>Рис. 9. Геологические ресурсы, млрд тонн условного топлива</w:t>
            </w:r>
          </w:p>
          <w:p w:rsidR="001E0C46" w:rsidRPr="001E0C46" w:rsidRDefault="001E0C46" w:rsidP="001E0C46">
            <w:pPr>
              <w:autoSpaceDE w:val="0"/>
              <w:autoSpaceDN w:val="0"/>
              <w:adjustRightInd w:val="0"/>
              <w:jc w:val="center"/>
              <w:rPr>
                <w:rFonts w:ascii="Times New Roman" w:eastAsia="Times New Roman" w:hAnsi="Times New Roman" w:cs="Times New Roman"/>
                <w:sz w:val="16"/>
                <w:szCs w:val="16"/>
                <w:lang w:eastAsia="ru-RU"/>
              </w:rPr>
            </w:pPr>
            <w:r w:rsidRPr="001E0C46">
              <w:rPr>
                <w:rFonts w:ascii="Times New Roman" w:eastAsia="Times New Roman" w:hAnsi="Times New Roman" w:cs="Times New Roman"/>
                <w:sz w:val="16"/>
                <w:szCs w:val="16"/>
                <w:lang w:eastAsia="ru-RU"/>
              </w:rPr>
              <w:t>(по Белонину М.Д.)</w:t>
            </w:r>
          </w:p>
          <w:p w:rsidR="00335D42" w:rsidRPr="00D423B2" w:rsidRDefault="00335D42" w:rsidP="00544215">
            <w:pPr>
              <w:autoSpaceDE w:val="0"/>
              <w:autoSpaceDN w:val="0"/>
              <w:adjustRightInd w:val="0"/>
              <w:ind w:firstLine="709"/>
              <w:jc w:val="both"/>
              <w:outlineLvl w:val="3"/>
              <w:rPr>
                <w:rFonts w:ascii="Times New Roman" w:eastAsia="Times New Roman" w:hAnsi="Times New Roman" w:cs="Times New Roman"/>
                <w:sz w:val="24"/>
                <w:szCs w:val="24"/>
                <w:lang w:eastAsia="ru-RU"/>
              </w:rPr>
            </w:pPr>
          </w:p>
          <w:p w:rsidR="00544215" w:rsidRPr="00D423B2" w:rsidRDefault="00544215" w:rsidP="00544215">
            <w:pPr>
              <w:autoSpaceDE w:val="0"/>
              <w:autoSpaceDN w:val="0"/>
              <w:adjustRightInd w:val="0"/>
              <w:ind w:firstLine="709"/>
              <w:jc w:val="both"/>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3.5.1. Сверхвязкие нефти и природные битумы пермского комплекса отложений Республики Татарстан</w:t>
            </w:r>
          </w:p>
          <w:p w:rsidR="00544215" w:rsidRPr="00D423B2" w:rsidRDefault="00544215" w:rsidP="00544215">
            <w:pPr>
              <w:autoSpaceDE w:val="0"/>
              <w:autoSpaceDN w:val="0"/>
              <w:adjustRightInd w:val="0"/>
              <w:ind w:firstLine="709"/>
              <w:jc w:val="both"/>
              <w:rPr>
                <w:rFonts w:ascii="Times New Roman" w:eastAsia="Times New Roman" w:hAnsi="Times New Roman" w:cs="Times New Roman"/>
                <w:sz w:val="24"/>
                <w:szCs w:val="24"/>
                <w:lang w:eastAsia="ru-RU"/>
              </w:rPr>
            </w:pP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Битумы пермских отложений Татарстана представляют собой окисленные высоковязкие нефти жидкой, полужидкой и твердой консистенции (вязкость от 600 до 1 млн спз), с высоким содержанием серы (3,7 – 7,0 процентов), с содержанием масел от 5,8 до 88,0 процентов), смол – от 8,7 до 57,0 процентов, асфальтенов – от 3,3 до 61,0 процента).</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Анализ результатов разведочных работ и лабораторных исследований керна подтвердил сходство строения залежей битумов с нефтяными залежами. Битум-содержащие отложения представляют собой скопления с содержанием битумов от 1 до 20 процентов к весу породы (40 – 98 процентов), к объему породы с определенными границами, за которыми битумонасыщенность снижается до 1 процента и ниже.</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Ресурсы углеводородного сырья в пермских отложениях Республики Татарстан оценивались различными авторами в течение более 30 лет во второй половине прошлого столетия. Эти оценки колебались от 4 до 21 млрд тонн, и даже с учетом северных районов республики (почти до 40 млрд тонн). Наиболее вероятный объем ресурсов составляет 7 – 8,7 млрд тонн, в том числе приоритетные для освоения ресурсы, принятые геологической службой объединения «Татнефть» в 1974 году, 1,5 – 2 млрд тонн. С 1978 года полигоном для отработки скважинных технологий добычи природных битумов стали два месторождения: Мордово-Кармальское и Ашальчинское. За прошедшие годы на данных месторождениях были разработаны и прошли апробацию следующие технологии:</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отбор керна в рыхлых битумоносных песчаниках специально созданным керноотборником;</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опробование битумных скважин;</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инициирование внутрипластового горения с применением термогазового генератора, высокочастотного электромагнитного поля, пара, электронагревательной установки УЭСК-100;</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термоциклическое воздействие на битумонасыщенный пласт воздухом, паром и парогазом;</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площадная закачка воздуха, пара и парогаза;</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изменение фильтрационных потоков;</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извлечение природных битумов методом низкотемпературного окисления.</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Кроме того, были отработаны методика поиска и разведки месторождений пермских тяжелых нефтей, оконтуривания залежей сверхвязкой нефти и ВВН, технологии изучения добывных возможностей пластов в различных структурно-геологических условиях локального поднятия.</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Проведенные исследования и опытно-промышленные работы по разработке скважинных методов извлечения битумов показали перспективность разработки залежей сверхвязкой нефти с применением тепловых методов (внутрипластовое горение, вытеснение паром, парогаз, волновые МУН, сочетание горизонтального бурения с парогравитацией). На опытном участке Мордово-Кармальского месторождения при разработке скважинными методами с применением внутрипластового горения получена высокая нефтеотдача – около 35 процентов.</w:t>
            </w:r>
          </w:p>
          <w:p w:rsidR="00CC638E" w:rsidRPr="00D423B2" w:rsidRDefault="00B57B62" w:rsidP="003F1C1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В дальнейшем в ПАО «Татнефть» на основе принципов технологии SAGD (метод парогравитационного дренажа) создан комплекс собственных технологий разработки месторождений СВН, который был отмечен премией Правительства Российской Федерации в области науки и техники 2012 года. Прогнозные уровни добычи СВН на месторождениях ПАО «Татнефть» с применением отработанных к настоящему времени технологий при текущем состоянии геологической изученности приведены на рисунке 10.</w:t>
            </w:r>
          </w:p>
          <w:p w:rsidR="00E92193" w:rsidRPr="00D423B2" w:rsidRDefault="00E92193" w:rsidP="00CC638E">
            <w:pPr>
              <w:autoSpaceDE w:val="0"/>
              <w:autoSpaceDN w:val="0"/>
              <w:adjustRightInd w:val="0"/>
              <w:ind w:firstLine="709"/>
              <w:jc w:val="both"/>
              <w:rPr>
                <w:rFonts w:ascii="Times New Roman" w:eastAsia="Times New Roman" w:hAnsi="Times New Roman" w:cs="Times New Roman"/>
                <w:strike/>
                <w:sz w:val="24"/>
                <w:szCs w:val="24"/>
                <w:lang w:eastAsia="ru-RU"/>
              </w:rPr>
            </w:pPr>
          </w:p>
          <w:p w:rsidR="00CC638E" w:rsidRPr="00D423B2" w:rsidRDefault="00E92193" w:rsidP="00E92193">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225CF388" wp14:editId="62F777AE">
                  <wp:extent cx="2723515" cy="1538877"/>
                  <wp:effectExtent l="0" t="0" r="635" b="444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33884" cy="1544736"/>
                          </a:xfrm>
                          <a:prstGeom prst="rect">
                            <a:avLst/>
                          </a:prstGeom>
                          <a:noFill/>
                        </pic:spPr>
                      </pic:pic>
                    </a:graphicData>
                  </a:graphic>
                </wp:inline>
              </w:drawing>
            </w:r>
          </w:p>
          <w:p w:rsidR="003653A3" w:rsidRPr="00D423B2" w:rsidRDefault="003653A3" w:rsidP="00E92193">
            <w:pPr>
              <w:autoSpaceDE w:val="0"/>
              <w:autoSpaceDN w:val="0"/>
              <w:adjustRightInd w:val="0"/>
              <w:jc w:val="center"/>
              <w:outlineLvl w:val="2"/>
              <w:rPr>
                <w:rFonts w:ascii="Times New Roman" w:eastAsia="Times New Roman" w:hAnsi="Times New Roman" w:cs="Times New Roman"/>
                <w:sz w:val="24"/>
                <w:szCs w:val="24"/>
                <w:lang w:eastAsia="ru-RU"/>
              </w:rPr>
            </w:pPr>
          </w:p>
          <w:p w:rsidR="00FF19AD" w:rsidRPr="00FF19AD" w:rsidRDefault="00FF19AD" w:rsidP="00FF19AD">
            <w:pPr>
              <w:autoSpaceDE w:val="0"/>
              <w:autoSpaceDN w:val="0"/>
              <w:adjustRightInd w:val="0"/>
              <w:jc w:val="center"/>
              <w:rPr>
                <w:rFonts w:ascii="Times New Roman" w:eastAsia="Times New Roman" w:hAnsi="Times New Roman" w:cs="Times New Roman"/>
                <w:sz w:val="16"/>
                <w:szCs w:val="16"/>
                <w:lang w:eastAsia="ru-RU"/>
              </w:rPr>
            </w:pPr>
            <w:r w:rsidRPr="00FF19AD">
              <w:rPr>
                <w:rFonts w:ascii="Times New Roman" w:eastAsia="Times New Roman" w:hAnsi="Times New Roman" w:cs="Times New Roman"/>
                <w:sz w:val="16"/>
                <w:szCs w:val="16"/>
                <w:lang w:eastAsia="ru-RU"/>
              </w:rPr>
              <w:t>Рис. 10. Прогнозные уровни добычи СВН на месторождениях ПАО «Татнефть»</w:t>
            </w:r>
            <w:r>
              <w:rPr>
                <w:rFonts w:ascii="Times New Roman" w:eastAsia="Times New Roman" w:hAnsi="Times New Roman" w:cs="Times New Roman"/>
                <w:sz w:val="16"/>
                <w:szCs w:val="16"/>
                <w:lang w:eastAsia="ru-RU"/>
              </w:rPr>
              <w:t xml:space="preserve"> </w:t>
            </w:r>
            <w:r w:rsidRPr="00FF19AD">
              <w:rPr>
                <w:rFonts w:ascii="Times New Roman" w:eastAsia="Times New Roman" w:hAnsi="Times New Roman" w:cs="Times New Roman"/>
                <w:sz w:val="16"/>
                <w:szCs w:val="16"/>
                <w:lang w:eastAsia="ru-RU"/>
              </w:rPr>
              <w:t>(с учетом ввода перспективных поднятий)</w:t>
            </w:r>
          </w:p>
          <w:p w:rsidR="003653A3" w:rsidRPr="00D423B2" w:rsidRDefault="003653A3" w:rsidP="00E92193">
            <w:pPr>
              <w:autoSpaceDE w:val="0"/>
              <w:autoSpaceDN w:val="0"/>
              <w:adjustRightInd w:val="0"/>
              <w:jc w:val="center"/>
              <w:outlineLvl w:val="2"/>
              <w:rPr>
                <w:rFonts w:ascii="Times New Roman" w:eastAsia="Times New Roman" w:hAnsi="Times New Roman" w:cs="Times New Roman"/>
                <w:sz w:val="24"/>
                <w:szCs w:val="24"/>
                <w:lang w:eastAsia="ru-RU"/>
              </w:rPr>
            </w:pPr>
          </w:p>
          <w:p w:rsidR="002E529E" w:rsidRPr="00D423B2" w:rsidRDefault="002E529E" w:rsidP="002E529E">
            <w:pPr>
              <w:autoSpaceDE w:val="0"/>
              <w:autoSpaceDN w:val="0"/>
              <w:adjustRightInd w:val="0"/>
              <w:ind w:firstLine="709"/>
              <w:jc w:val="both"/>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3.5.2. Нетрадиционные углеводороды, в том числе из сланцевых отложений</w:t>
            </w:r>
          </w:p>
          <w:p w:rsidR="002E529E" w:rsidRPr="00D423B2" w:rsidRDefault="002E529E" w:rsidP="002E529E">
            <w:pPr>
              <w:autoSpaceDE w:val="0"/>
              <w:autoSpaceDN w:val="0"/>
              <w:adjustRightInd w:val="0"/>
              <w:ind w:firstLine="709"/>
              <w:jc w:val="both"/>
              <w:rPr>
                <w:rFonts w:ascii="Times New Roman" w:eastAsia="Times New Roman" w:hAnsi="Times New Roman" w:cs="Times New Roman"/>
                <w:sz w:val="24"/>
                <w:szCs w:val="24"/>
                <w:lang w:eastAsia="ru-RU"/>
              </w:rPr>
            </w:pP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За последнее десятилетие мировой рынок энергоносителей существенно изменился благодаря вводу в эксплуатацию месторождений нетрадиционных углеводородов, прежде всего, углеводородов из сланцевых отложений. В отличие от традиционных углеводородов они сосредоточены в сложных для освоения скоплениях либо рассеяны в непродуктивной среде. Данные углеводороды плохо подвижны или неподвижны в пластовых условиях недр, в связи с чем нуждаются в специальных способах извлечения из недр, что повышает их себестоимость.</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По оценке некоторых зарубежных экспертов, извлекаемые ресурсы сланцевой нефти на планете могут составлять 900 млрд тонн. По данным Международного энергетического агентства, извлекаемые запасы сланцевой нефти только</w:t>
            </w:r>
            <w:r w:rsidRPr="00BC681F">
              <w:rPr>
                <w:rFonts w:ascii="Times New Roman" w:eastAsia="Times New Roman" w:hAnsi="Times New Roman" w:cs="Times New Roman"/>
                <w:sz w:val="24"/>
                <w:szCs w:val="24"/>
                <w:lang w:eastAsia="ru-RU"/>
              </w:rPr>
              <w:br/>
              <w:t>по 33 странам на открытых 600 месторождениях на 1 января 2013 года оцениваются в пределах 450 млрд тонн.</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Учитывая, что запасы сланцевой нефти значительно превышают объем традиционных запасов, в настоящее время все вертикально-интегрированные нефтяные компании России ведут научно-исследовательские и опытно- промышленные работы по выработке методики разработки месторождений сланцевой нефти.</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На территории Татарстана перспективы развития нефтесланцевых полей связаны, в первую очередь, с породами доманикоидной формации верхнего девона - с семилукским (доманиковым) горизонтом, а также с речицким (мендымским) горизонтом и доманикоидными формациями центральной и бортовой зон Камско-Кинельской системы прогибов. В частности, нефтеносность семилукского и речицкого горизонтов установлена на ряде площадей Ромашкинского месторождения, в пределах Ерсубайкинского, Березовского и других месторождений.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Научно-исследовательские работы по оценке нефтеперспективности сланцевых отложений на территории Республики Татарстан ведутся Академией наук Республики Татарстан, ФГАОУ ВО «Казанский (Приволжский) федеральный университет», Институт «ТатНИПИнефть» и рядом других ключевых и передовых научно-исследовательских учреждений.</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ПАО «Татнефть» на протяжении последних пяти лет активно проводит работы по изучению доманиковых отложений – плотных слабопроницамых нефтематеринских карбонатных толщ девонской системы, стратиграфически приуроченных к интервалу от саргаевского горизонта до заволжского надгоризонта включительно.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На 1 января 2019 года на государственном балансе учтены 9 месторождений ПАО «Татнефть» с запасами в доманиковых отложениях: Бавлинское, Бухараевское, Западно-Галицкое, Купавное, Матросовское, Ново-Елховское (Баллаевское поднятие), Ромашинское (444 залежь), Сабанчинское, Сарайлинское (Восточно-Тагайское поднятие). С начальными запасами нефти: геологических – 353,053 млн тонн и извлекаемых – 45,956 млн тонн. Проведен ряд научно-исследовательских и тематических работ по уточнению геологического строения доманиковых отложений, детальному исследованию керна, определению основных перспектив нефтеносности. Ведется работа по созданию полигонов в рамках лицензионных соглашений.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В рамках программы опытно-промышленных работ отрабатываются технологии воздействия на пласты с низкими фильтрационными характеристиками, технологии горизонтального бурения и, так называемые, «щадящие» кислотные и многозонные ГРП.</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При проведении работ на доманиковых отложениях возникает ряд проблем по их изучению: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выделение перспективных интервалов осложнено отсутствием методики определения количественных параметров по геофизическим исследованиям скважин (далее – ГИС), разработанной для нетрадиционных плотных слабопроницаемых пород, содержащих трудноизвлекаемые запасы. Осложняющими факторами при интерпретации данных ГИС являются: литологическая неоднородность доманиковых отложений по площади и разрезу, их изменчивость по фильтрационно-емкостным свойствам, вскрытие разреза на естественной водной суспензии, высокая степень гидрофобности порового пространства, насыщение пород органическим веществом и битумоидами;</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сложность картирования зон разуплотнений в конкретном горизонте, пласте. Данные сейсморазведочных работ методом общей глубинной точки (МОГТ), в том числе и модификации 3Д, позволяют прогнозировать зоны трещиноватости и выполнять сейсмофациальный анализ только на весьма обширные интервалы разреза.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Работа с доманиковыми отложениями подразумевает нетрадиционный подход к их изучению и освоению и требует обязательного применения методов стимуляции пласта. Необходимо в комплексе с традиционными методами МГРП (многозонный гидроразрыв пласта) и БОПЗ (большеобъемная обработка призабойной зоны), применять альтернативные способы воздействия, к примеру, такие как тепловое, газовое воздействие, применение катализаторов, использование особых составов ГРП и другие.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Изучение доманиковых отложений – это новое направление, требующее немалых вложений, как материальных, так и интеллектуальных. Компания несет значительные материальные затраты при проведении необходимого комплекса исследований керна. Поскольку основной целью проведения опытно-промышленных работ в доманиковых отложениях является выявление залежей в доманиковых отложениях как на новых участках, так и на разрабатываемых месторождениях, проведение детальных исследований керна базовых скважин должно включать определение основных литолого-петрофизических, геохимических и геомеханических характеристик на образцах керна с плотностью</w:t>
            </w:r>
            <w:r w:rsidRPr="00BC681F">
              <w:rPr>
                <w:rFonts w:ascii="Times New Roman" w:eastAsia="Times New Roman" w:hAnsi="Times New Roman" w:cs="Times New Roman"/>
                <w:sz w:val="24"/>
                <w:szCs w:val="24"/>
                <w:lang w:eastAsia="ru-RU"/>
              </w:rPr>
              <w:br/>
              <w:t xml:space="preserve">3 – 5 образцов на 1 метр вынесенного керна из интервалов с выноса керна не менее 80 процентов).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Основной задачей на текущий момент является необходимость подбора рационального комплекса методик и технологий ГРР и разработки, бурения и ГРП, других методов воздействия, а также обеспечение рентабельной эксплуатации.</w:t>
            </w:r>
          </w:p>
          <w:p w:rsidR="002E529E" w:rsidRPr="00D423B2" w:rsidRDefault="00BC681F" w:rsidP="00BC681F">
            <w:pPr>
              <w:autoSpaceDE w:val="0"/>
              <w:autoSpaceDN w:val="0"/>
              <w:adjustRightInd w:val="0"/>
              <w:jc w:val="both"/>
              <w:outlineLvl w:val="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BC681F">
              <w:rPr>
                <w:rFonts w:ascii="Times New Roman" w:eastAsia="Times New Roman" w:hAnsi="Times New Roman" w:cs="Times New Roman"/>
                <w:sz w:val="24"/>
                <w:szCs w:val="24"/>
                <w:lang w:eastAsia="ru-RU"/>
              </w:rPr>
              <w:t>В качестве других возможных источников углеводородов отраслевой научной общественностью обсуждается на уровне гипотезы теория пополнения нефтяных месторождений углеводородами из глубин Земли, из кристаллического фундамента через флюидопроводящие каналы, а также возможность подземной газификации углей из отложений нижнего карбона с дальнейшим использованием дополнительно выделяемого тепла для термической добычи ВВН.</w:t>
            </w:r>
          </w:p>
          <w:p w:rsidR="00BC681F" w:rsidRDefault="00BC681F" w:rsidP="00A45AC4">
            <w:pPr>
              <w:autoSpaceDE w:val="0"/>
              <w:autoSpaceDN w:val="0"/>
              <w:adjustRightInd w:val="0"/>
              <w:jc w:val="center"/>
              <w:outlineLvl w:val="2"/>
              <w:rPr>
                <w:rFonts w:ascii="Times New Roman" w:eastAsia="Times New Roman" w:hAnsi="Times New Roman" w:cs="Times New Roman"/>
                <w:b/>
                <w:sz w:val="24"/>
                <w:szCs w:val="24"/>
                <w:lang w:eastAsia="ru-RU"/>
              </w:rPr>
            </w:pPr>
          </w:p>
          <w:p w:rsidR="00A45AC4" w:rsidRPr="00D423B2" w:rsidRDefault="00A45AC4" w:rsidP="00A45AC4">
            <w:pPr>
              <w:autoSpaceDE w:val="0"/>
              <w:autoSpaceDN w:val="0"/>
              <w:adjustRightInd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3.6. Нефтеперерабатывающая промышленность</w:t>
            </w:r>
          </w:p>
          <w:p w:rsidR="00A45AC4" w:rsidRPr="00D423B2" w:rsidRDefault="00A45AC4" w:rsidP="00A45AC4">
            <w:pPr>
              <w:autoSpaceDE w:val="0"/>
              <w:autoSpaceDN w:val="0"/>
              <w:adjustRightInd w:val="0"/>
              <w:jc w:val="both"/>
              <w:rPr>
                <w:rFonts w:ascii="Times New Roman" w:eastAsia="Times New Roman" w:hAnsi="Times New Roman" w:cs="Times New Roman"/>
                <w:sz w:val="24"/>
                <w:szCs w:val="24"/>
                <w:lang w:eastAsia="ru-RU"/>
              </w:rPr>
            </w:pPr>
          </w:p>
          <w:p w:rsidR="00BE64CB" w:rsidRPr="00BE64CB" w:rsidRDefault="00A45AC4"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Нефтеперерабатывающая </w:t>
            </w:r>
            <w:r w:rsidR="00BE64CB" w:rsidRPr="00BE64CB">
              <w:rPr>
                <w:rFonts w:ascii="Times New Roman" w:eastAsia="Times New Roman" w:hAnsi="Times New Roman" w:cs="Times New Roman"/>
                <w:sz w:val="24"/>
                <w:szCs w:val="24"/>
                <w:lang w:eastAsia="ru-RU"/>
              </w:rPr>
              <w:t>Нефтеперерабатывающая промышленность является относительно молодой отраслью Республики Татарстан. Ее формирование проходило в рамках реализации программных документов, принимаемых на уровне Правительства Республики Татарстан начиная с 1999 года.</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В настоящее время на долю Татарстана приходится 6,5 процента объема добычи нефти в Российской Федерации, а с вводом в эксплуатацию в 2012 году комплекса нефтеперерабатывающих и нефтехимических заводов АО «ТАНЕКО» (далее – Комплекс «ТАНЕКО») – более 6 процентов всего объема российской нефтепереработки. Отрасль формирует около 22 процентов общереспубликанского объема промышленного производства.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Нефтеперерабатывающая промышленность Республики Татарстан представлена нефтеперерабатывающим комплексом АО «ТАИФ-НК» и Комплексом «ТАНЕКО», входящим в состав ПАО «Татнефть».</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В настоящее время АО «ТАИФ-НК», объединяющее нефтеперерабатывающий завод, завод бензинов и производство по переработке газового конденсата, ежегодно перерабатывает более 8,3 млн тонн углеводородного сырья. Среднегодовой показатель глубины переработки на предприятии составляет 75,2 процента.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Строительство Комплекса «ТАНЕКО» было начато в 2005 году</w:t>
            </w:r>
            <w:r w:rsidRPr="00BE64CB">
              <w:rPr>
                <w:rFonts w:ascii="Times New Roman" w:eastAsia="Times New Roman" w:hAnsi="Times New Roman" w:cs="Times New Roman"/>
                <w:sz w:val="24"/>
                <w:szCs w:val="24"/>
                <w:lang w:eastAsia="ru-RU"/>
              </w:rPr>
              <w:br/>
              <w:t>ПАО «Татнефть» в целях организации собственной переработки добываемой нефти. Проект реализуется поэтапно, в условиях совмещенного проектирования, поставок оборудования, строительства с опережающим вводом в эксплуатацию производственных мощностей.</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bCs/>
                <w:sz w:val="24"/>
                <w:szCs w:val="24"/>
                <w:lang w:eastAsia="ru-RU"/>
              </w:rPr>
            </w:pPr>
            <w:r w:rsidRPr="00BE64CB">
              <w:rPr>
                <w:rFonts w:ascii="Times New Roman" w:eastAsia="Times New Roman" w:hAnsi="Times New Roman" w:cs="Times New Roman"/>
                <w:bCs/>
                <w:sz w:val="24"/>
                <w:szCs w:val="24"/>
                <w:lang w:eastAsia="ru-RU"/>
              </w:rPr>
              <w:t>Достигнутые показатели:</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глубина переработки – 99 процентов;</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выход светлых нефтепродуктов – 84 процента;</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объем по переработки нефти – 8,7 млн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АО «ТАНЕКО» занимает:</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первое место среди российских нефтеперерабатывающих заводов (далее – НПЗ) по уровню загрузки установок первичной переработки нефти (115 процентов);</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b/>
                <w:bCs/>
                <w:sz w:val="24"/>
                <w:szCs w:val="24"/>
                <w:lang w:eastAsia="ru-RU"/>
              </w:rPr>
            </w:pPr>
            <w:r w:rsidRPr="00BE64CB">
              <w:rPr>
                <w:rFonts w:ascii="Times New Roman" w:eastAsia="Times New Roman" w:hAnsi="Times New Roman" w:cs="Times New Roman"/>
                <w:sz w:val="24"/>
                <w:szCs w:val="24"/>
                <w:lang w:eastAsia="ru-RU"/>
              </w:rPr>
              <w:t>седьмое место по объему производства нефтепродуктов;</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10 процентов – доля компании в общем увеличении объема переработки нефти в России.</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bCs/>
                <w:sz w:val="24"/>
                <w:szCs w:val="24"/>
                <w:lang w:eastAsia="ru-RU"/>
              </w:rPr>
            </w:pPr>
            <w:r w:rsidRPr="00BE64CB">
              <w:rPr>
                <w:rFonts w:ascii="Times New Roman" w:eastAsia="Times New Roman" w:hAnsi="Times New Roman" w:cs="Times New Roman"/>
                <w:bCs/>
                <w:sz w:val="24"/>
                <w:szCs w:val="24"/>
                <w:lang w:eastAsia="ru-RU"/>
              </w:rPr>
              <w:t>Действующее производство:</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ЭЛОУ-АВТ-7 – 8,7 млн тонн/год (утвержденная проектная мощность);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комбинированная установка получения серы – 278 тыс. тонн/год;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установки производства водорода – 100 и 22 тыс.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гидрокрекинга – 2,9 млн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производства масел – 250 тыс.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установка замедленного коксования – 2 млн тонн/год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гидроочистки нафты – 1,1 млн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изомеризации – 420 тыс.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гидроочистки керосина – 500 тыс.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гидроочистки дизельного топлива – 1,6 млн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установка каталитического риформинга – 714 тыс. тонн/год.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НПЗ Республики Татарстан продолжают работу по дальнейшему развитию мощностей, что в перспективе позволит довести объем ежегодной переработки нефти в Республике Татарстан до 22-23 млн тонн, полностью удовлетворить потребности республики в качественном моторном топливе, улучшить сырьевое обеспечение нефтехимических производств, а также в значительной степени нарастить экспортные поставки нефтепродуктов.</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С 2005 по 2014 год в Республике Татарстан значительно сократилась доля экспорта нефти в объеме нефтедобычи – с 62,0 до 32,6 процента. Объем первичной переработки нефти на НПЗ АО «ТАИФ-НК», Комплексе «ТАНЕКО» вырос </w:t>
            </w:r>
            <w:r w:rsidRPr="00BE64CB">
              <w:rPr>
                <w:rFonts w:ascii="Times New Roman" w:eastAsia="Times New Roman" w:hAnsi="Times New Roman" w:cs="Times New Roman"/>
                <w:sz w:val="24"/>
                <w:szCs w:val="24"/>
                <w:lang w:eastAsia="ru-RU"/>
              </w:rPr>
              <w:br/>
              <w:t>с 6,8 млн тонн в 2005 году до 17,1 млн тонн в 2014 году.</w:t>
            </w:r>
          </w:p>
          <w:p w:rsidR="00A45AC4" w:rsidRPr="00D423B2" w:rsidRDefault="00BE64CB" w:rsidP="00BE64CB">
            <w:pPr>
              <w:autoSpaceDE w:val="0"/>
              <w:autoSpaceDN w:val="0"/>
              <w:adjustRightInd w:val="0"/>
              <w:ind w:firstLine="709"/>
              <w:jc w:val="both"/>
              <w:rPr>
                <w:rFonts w:ascii="Times New Roman" w:eastAsia="Times New Roman" w:hAnsi="Times New Roman" w:cs="Times New Roman"/>
                <w:strike/>
                <w:sz w:val="24"/>
                <w:szCs w:val="24"/>
                <w:lang w:eastAsia="ru-RU"/>
              </w:rPr>
            </w:pPr>
            <w:r w:rsidRPr="00BE64CB">
              <w:rPr>
                <w:rFonts w:ascii="Times New Roman" w:eastAsia="Times New Roman" w:hAnsi="Times New Roman" w:cs="Times New Roman"/>
                <w:sz w:val="24"/>
                <w:szCs w:val="24"/>
                <w:lang w:eastAsia="ru-RU"/>
              </w:rPr>
              <w:t>С 2014 по 2017 год в Республике Татарстан доля экспорта нефти в объеме нефтедобычи выросла с 32 процентов до 47 процентов, а в 2018 году – снизилась</w:t>
            </w:r>
            <w:r w:rsidRPr="00BE64CB">
              <w:rPr>
                <w:rFonts w:ascii="Times New Roman" w:eastAsia="Times New Roman" w:hAnsi="Times New Roman" w:cs="Times New Roman"/>
                <w:sz w:val="24"/>
                <w:szCs w:val="24"/>
                <w:lang w:eastAsia="ru-RU"/>
              </w:rPr>
              <w:br/>
              <w:t>до 36,5 процента.</w:t>
            </w:r>
          </w:p>
          <w:p w:rsidR="00BD393F" w:rsidRPr="00D423B2" w:rsidRDefault="00DE3C90" w:rsidP="00BD393F">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BD393F" w:rsidRPr="00D423B2">
              <w:rPr>
                <w:rFonts w:ascii="Times New Roman" w:eastAsia="Times New Roman" w:hAnsi="Times New Roman" w:cs="Times New Roman"/>
                <w:sz w:val="24"/>
                <w:szCs w:val="24"/>
                <w:lang w:eastAsia="ru-RU"/>
              </w:rPr>
              <w:t>10</w:t>
            </w:r>
          </w:p>
          <w:p w:rsidR="00BD393F" w:rsidRPr="00D423B2" w:rsidRDefault="00BD393F" w:rsidP="00BD393F">
            <w:pPr>
              <w:autoSpaceDE w:val="0"/>
              <w:autoSpaceDN w:val="0"/>
              <w:adjustRightInd w:val="0"/>
              <w:jc w:val="both"/>
              <w:rPr>
                <w:rFonts w:ascii="Times New Roman" w:eastAsia="Times New Roman" w:hAnsi="Times New Roman" w:cs="Times New Roman"/>
                <w:sz w:val="24"/>
                <w:szCs w:val="24"/>
                <w:lang w:eastAsia="ru-RU"/>
              </w:rPr>
            </w:pPr>
          </w:p>
          <w:p w:rsidR="00BD393F" w:rsidRPr="00D423B2" w:rsidRDefault="00BD393F" w:rsidP="00BD393F">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Динамика добычи и переработки нефти в Республике Татарстан</w:t>
            </w:r>
          </w:p>
          <w:p w:rsidR="00BD393F" w:rsidRPr="00D423B2" w:rsidRDefault="00BD393F" w:rsidP="00BD393F">
            <w:pPr>
              <w:autoSpaceDE w:val="0"/>
              <w:autoSpaceDN w:val="0"/>
              <w:adjustRightInd w:val="0"/>
              <w:jc w:val="both"/>
              <w:rPr>
                <w:rFonts w:ascii="Times New Roman" w:eastAsia="Times New Roman" w:hAnsi="Times New Roman" w:cs="Times New Roman"/>
                <w:sz w:val="28"/>
                <w:szCs w:val="28"/>
                <w:lang w:eastAsia="ru-RU"/>
              </w:rPr>
            </w:pPr>
          </w:p>
          <w:tbl>
            <w:tblPr>
              <w:tblW w:w="4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1755"/>
              <w:gridCol w:w="659"/>
              <w:gridCol w:w="552"/>
              <w:gridCol w:w="620"/>
              <w:gridCol w:w="690"/>
              <w:gridCol w:w="689"/>
            </w:tblGrid>
            <w:tr w:rsidR="00F366FA" w:rsidRPr="00EE54D2" w:rsidTr="00F366FA">
              <w:trPr>
                <w:trHeight w:val="282"/>
              </w:trPr>
              <w:tc>
                <w:tcPr>
                  <w:tcW w:w="1755"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Наименование показателя/годы</w:t>
                  </w:r>
                </w:p>
              </w:tc>
              <w:tc>
                <w:tcPr>
                  <w:tcW w:w="65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2014</w:t>
                  </w:r>
                </w:p>
              </w:tc>
              <w:tc>
                <w:tcPr>
                  <w:tcW w:w="552"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2015</w:t>
                  </w:r>
                </w:p>
              </w:tc>
              <w:tc>
                <w:tcPr>
                  <w:tcW w:w="62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2016</w:t>
                  </w:r>
                </w:p>
              </w:tc>
              <w:tc>
                <w:tcPr>
                  <w:tcW w:w="69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2017</w:t>
                  </w:r>
                </w:p>
              </w:tc>
              <w:tc>
                <w:tcPr>
                  <w:tcW w:w="68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2018</w:t>
                  </w:r>
                </w:p>
              </w:tc>
            </w:tr>
            <w:tr w:rsidR="00F366FA" w:rsidRPr="00EE54D2" w:rsidTr="00F366FA">
              <w:trPr>
                <w:trHeight w:val="282"/>
              </w:trPr>
              <w:tc>
                <w:tcPr>
                  <w:tcW w:w="1755" w:type="dxa"/>
                </w:tcPr>
                <w:p w:rsidR="00F366FA" w:rsidRPr="00F366FA" w:rsidRDefault="00F366FA" w:rsidP="00F366FA">
                  <w:pPr>
                    <w:pStyle w:val="ConsPlusNormal"/>
                    <w:spacing w:before="60" w:after="60"/>
                    <w:rPr>
                      <w:rFonts w:ascii="Times New Roman" w:hAnsi="Times New Roman" w:cs="Times New Roman"/>
                      <w:sz w:val="16"/>
                      <w:szCs w:val="16"/>
                    </w:rPr>
                  </w:pPr>
                  <w:r w:rsidRPr="00F366FA">
                    <w:rPr>
                      <w:rFonts w:ascii="Times New Roman" w:hAnsi="Times New Roman" w:cs="Times New Roman"/>
                      <w:sz w:val="16"/>
                      <w:szCs w:val="16"/>
                    </w:rPr>
                    <w:t>Добыча нефти, млн тонн</w:t>
                  </w:r>
                </w:p>
              </w:tc>
              <w:tc>
                <w:tcPr>
                  <w:tcW w:w="65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33,1</w:t>
                  </w:r>
                </w:p>
              </w:tc>
              <w:tc>
                <w:tcPr>
                  <w:tcW w:w="552"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34,04</w:t>
                  </w:r>
                </w:p>
              </w:tc>
              <w:tc>
                <w:tcPr>
                  <w:tcW w:w="62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35,46</w:t>
                  </w:r>
                </w:p>
              </w:tc>
              <w:tc>
                <w:tcPr>
                  <w:tcW w:w="69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35,7</w:t>
                  </w:r>
                </w:p>
              </w:tc>
              <w:tc>
                <w:tcPr>
                  <w:tcW w:w="68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36,4</w:t>
                  </w:r>
                </w:p>
              </w:tc>
            </w:tr>
            <w:tr w:rsidR="00F366FA" w:rsidRPr="00EE54D2" w:rsidTr="00F366FA">
              <w:trPr>
                <w:trHeight w:val="292"/>
              </w:trPr>
              <w:tc>
                <w:tcPr>
                  <w:tcW w:w="1755" w:type="dxa"/>
                </w:tcPr>
                <w:p w:rsidR="00F366FA" w:rsidRPr="00F366FA" w:rsidRDefault="00F366FA" w:rsidP="00F366FA">
                  <w:pPr>
                    <w:pStyle w:val="ConsPlusNormal"/>
                    <w:spacing w:before="60" w:after="60"/>
                    <w:rPr>
                      <w:rFonts w:ascii="Times New Roman" w:hAnsi="Times New Roman" w:cs="Times New Roman"/>
                      <w:sz w:val="16"/>
                      <w:szCs w:val="16"/>
                    </w:rPr>
                  </w:pPr>
                  <w:r w:rsidRPr="00F366FA">
                    <w:rPr>
                      <w:rFonts w:ascii="Times New Roman" w:hAnsi="Times New Roman" w:cs="Times New Roman"/>
                      <w:sz w:val="16"/>
                      <w:szCs w:val="16"/>
                    </w:rPr>
                    <w:t>Переработка нефти, млн тонн</w:t>
                  </w:r>
                </w:p>
              </w:tc>
              <w:tc>
                <w:tcPr>
                  <w:tcW w:w="65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17,1</w:t>
                  </w:r>
                </w:p>
              </w:tc>
              <w:tc>
                <w:tcPr>
                  <w:tcW w:w="552"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17,3</w:t>
                  </w:r>
                </w:p>
              </w:tc>
              <w:tc>
                <w:tcPr>
                  <w:tcW w:w="62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17,27</w:t>
                  </w:r>
                </w:p>
              </w:tc>
              <w:tc>
                <w:tcPr>
                  <w:tcW w:w="69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16,3</w:t>
                  </w:r>
                </w:p>
              </w:tc>
              <w:tc>
                <w:tcPr>
                  <w:tcW w:w="68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17,1</w:t>
                  </w:r>
                </w:p>
              </w:tc>
            </w:tr>
            <w:tr w:rsidR="00F366FA" w:rsidRPr="00EE54D2" w:rsidTr="00F366FA">
              <w:trPr>
                <w:trHeight w:val="271"/>
              </w:trPr>
              <w:tc>
                <w:tcPr>
                  <w:tcW w:w="1755" w:type="dxa"/>
                </w:tcPr>
                <w:p w:rsidR="00F366FA" w:rsidRPr="00F366FA" w:rsidRDefault="00F366FA" w:rsidP="00F366FA">
                  <w:pPr>
                    <w:pStyle w:val="ConsPlusNormal"/>
                    <w:spacing w:before="60" w:after="60"/>
                    <w:rPr>
                      <w:rFonts w:ascii="Times New Roman" w:hAnsi="Times New Roman" w:cs="Times New Roman"/>
                      <w:sz w:val="16"/>
                      <w:szCs w:val="16"/>
                    </w:rPr>
                  </w:pPr>
                  <w:r w:rsidRPr="00F366FA">
                    <w:rPr>
                      <w:rFonts w:ascii="Times New Roman" w:hAnsi="Times New Roman" w:cs="Times New Roman"/>
                      <w:sz w:val="16"/>
                      <w:szCs w:val="16"/>
                    </w:rPr>
                    <w:t>Экспорт нефти, млн тонн</w:t>
                  </w:r>
                </w:p>
              </w:tc>
              <w:tc>
                <w:tcPr>
                  <w:tcW w:w="65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10,8</w:t>
                  </w:r>
                </w:p>
              </w:tc>
              <w:tc>
                <w:tcPr>
                  <w:tcW w:w="552"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12,7</w:t>
                  </w:r>
                </w:p>
              </w:tc>
              <w:tc>
                <w:tcPr>
                  <w:tcW w:w="62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14,13</w:t>
                  </w:r>
                </w:p>
              </w:tc>
              <w:tc>
                <w:tcPr>
                  <w:tcW w:w="69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16,8</w:t>
                  </w:r>
                </w:p>
              </w:tc>
              <w:tc>
                <w:tcPr>
                  <w:tcW w:w="68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13,3</w:t>
                  </w:r>
                </w:p>
              </w:tc>
            </w:tr>
          </w:tbl>
          <w:p w:rsidR="00A45AC4" w:rsidRPr="00D423B2" w:rsidRDefault="00A45AC4" w:rsidP="00E92193">
            <w:pPr>
              <w:autoSpaceDE w:val="0"/>
              <w:autoSpaceDN w:val="0"/>
              <w:adjustRightInd w:val="0"/>
              <w:jc w:val="center"/>
              <w:outlineLvl w:val="2"/>
              <w:rPr>
                <w:rFonts w:ascii="Times New Roman" w:eastAsia="Times New Roman" w:hAnsi="Times New Roman" w:cs="Times New Roman"/>
                <w:sz w:val="24"/>
                <w:szCs w:val="24"/>
                <w:lang w:eastAsia="ru-RU"/>
              </w:rPr>
            </w:pP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 xml:space="preserve">В целом за счет усиленной реализации новых инвестиционных проектов в нефтеперерабатывающей промышленности республики, доля несырьевого экспорта Республики Татарстан с 2010 года выросла с 34 процентов до 58,5 процента. </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Только в 2018 году стоимостная доля нефти в объеме экспорта республики сократилась с 46,1 процента до 41,5 процента при росте экспорта нефтепродуктов с 27,7 процента до 36,4 процента.</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Основные цели развития нефтеперерабатывающей промышленности Татарстана на перспективу до 2030 года заключаются в следующем:</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достижение лучших технологических показателей, в том числе по глубине переработки нефти, отбору светлых нефтепродуктов;</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обеспечение соответствия товарной продукции требованиям современных мировых и законодательно установленных российских стандартов качества и технических регламентов;</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минимизация либо полное исключение производства нефтепродуктов-полуфабрикатов, темных нефтепродуктов;</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обеспечение минимальной зависимости от поставок вспомогательного сырья, необходимого для производства товарных высококачественных нефтепродуктов, а также заключение долгосрочных договорных отношений на поставку необходимого сырья, ввозимого из-за пределов республики;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ориентация на энерго- и ресурсосбережение предприятий отрасли.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Основной целью развития отрасли на перспективу до 2030 года является стабильное функционирование и дальнейшее формирование в Республике Татарстан технологически и экологически прогрессивной, конкурентоспособной нефтеперерабатывающей промышленности, ориентированной на обеспечение высокой глубины переработки нефти и природных битумов, выпуск сырья для химической и нефтехимической промышленности региона, производство нефтепродуктов, имеющих потенциал сбыта на российском и мировом рынках с учетом перспективных требований к их качеству.</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Задачи, которые необходимо решить для достижения данной цели: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строительство опережающими темпами современных, основанных на использовании прогрессивных технологий мирового уровня нефтеперерабатывающих производств, ориентированных на максимально глубокую переработку нефти (преимущественно высокосернистой, высоковязкой), природных битумов;</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участие в создании импортозамещающих отечественных передовых технологий по переработке нефти;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обеспечение балансировки перспективных сырьевых потребностей региональной нефтехимии с планами развития нефтепереработки;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встраивание отрасли в региональные и межрегиональные территориально-отраслевые кластеры, ориентированные на комплексную переработку природного сырья с выпуском конечной импортозамещающей и экспортоспособной продукции;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рациональное размещение новых производств, обеспечивающее сокращение транспортных и прочих инфраструктурных затрат с одновременной ориентацией на использование только тех технологий, которые обеспечат минимизацию экологического ущерба в местах базирования объектов нефтепереработки;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формирование и поддержка региональных форм территориальной организации бизнеса и инновационной деятельности – технопарков, бизнес-инкубаторов, образовательных кластеров и других, являющихся поставщиками новых технологий и кадров для отрасли;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участие в создании альтернативных технологий топлива в целях диверсификации деятельности, минимизации рисков в случае перехода мирового сообщества после 2030 года на альтернативные топливные технологии, а также в интересах синергетического воздействия на другие сферы региональной экономики;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 xml:space="preserve">освоение новых направлений переработки нефти в рамках реализации программ развития нефтегазохимического комплекса Республики Татарстан. </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В настоящее время основным проектом АО «ТАИФ-НК» является проект строительства Комплекса по глубокой переработке тяжелых остатков (далее – КГПТО), после ввода которого нефтеперерабатывающая промышленность Российской Федерации пополнится эффективным нефтеперерабатывающим производством мирового стандарта.</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Основная цель данного масштабного, капиталоемкого стратегического проекта – исключение производства топочного высокосернистого мазута с обеспечением роста выпуска светлых высоколиквидных нефтепродуктов, соответствующих мировым и европейским требованиям качества. При проектировании КГПТО предполагается внедрение передовых ресурсосберегающих технологий и мероприятий, позволяющих снизить негативное воздействие на окружающую среду от проектируемых и действующих объектов НПЗ.</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С пуском КГПТО, который планируется к запуску, глубина переработки нефти составит не менее 98,6 процента, и переработка нефти станет практически безотходной. Весь выпускаемый перечень продукции КГПТО будет обладать улучшенными экологическими характеристиками: пониженным содержанием серы в нафте, автобензинах и дизельном топливе (не более 10 ppm), в сжиженных углеводородных газах. Эти высококачественные и ликвидные нефтепродукты будут реализовываться в Республике Татарстан и Российской Федерации, а также отгружаться на экспорт.</w:t>
            </w:r>
          </w:p>
          <w:p w:rsidR="008D63B9" w:rsidRDefault="00CB4506" w:rsidP="00CB4506">
            <w:pPr>
              <w:autoSpaceDE w:val="0"/>
              <w:autoSpaceDN w:val="0"/>
              <w:adjustRightInd w:val="0"/>
              <w:jc w:val="both"/>
              <w:outlineLvl w:val="2"/>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sz w:val="24"/>
                <w:szCs w:val="24"/>
                <w:lang w:eastAsia="ru-RU"/>
              </w:rPr>
              <w:t xml:space="preserve">           </w:t>
            </w:r>
            <w:r w:rsidRPr="00CB4506">
              <w:rPr>
                <w:rFonts w:ascii="Times New Roman" w:eastAsia="Times New Roman" w:hAnsi="Times New Roman" w:cs="Times New Roman"/>
                <w:sz w:val="24"/>
                <w:szCs w:val="24"/>
                <w:lang w:eastAsia="ru-RU"/>
              </w:rPr>
              <w:t xml:space="preserve">Схема перспективного развития АО «ТАИФ-НК», учитывающая реализацию крупных инвестиционных проектов по новому строительству и модернизации действующих производств, представлена на </w:t>
            </w:r>
            <w:hyperlink w:anchor="P1582" w:history="1">
              <w:r w:rsidRPr="00CB4506">
                <w:rPr>
                  <w:rStyle w:val="a9"/>
                  <w:rFonts w:ascii="Times New Roman" w:eastAsia="Times New Roman" w:hAnsi="Times New Roman" w:cs="Times New Roman"/>
                  <w:color w:val="000000" w:themeColor="text1"/>
                  <w:sz w:val="24"/>
                  <w:szCs w:val="24"/>
                  <w:u w:val="none"/>
                  <w:lang w:eastAsia="ru-RU"/>
                </w:rPr>
                <w:t>рисунке 11</w:t>
              </w:r>
            </w:hyperlink>
            <w:r w:rsidRPr="00CB4506">
              <w:rPr>
                <w:rFonts w:ascii="Times New Roman" w:eastAsia="Times New Roman" w:hAnsi="Times New Roman" w:cs="Times New Roman"/>
                <w:color w:val="000000" w:themeColor="text1"/>
                <w:sz w:val="24"/>
                <w:szCs w:val="24"/>
                <w:lang w:eastAsia="ru-RU"/>
              </w:rPr>
              <w:t>.</w:t>
            </w:r>
          </w:p>
          <w:p w:rsidR="00E25C35" w:rsidRPr="00D423B2" w:rsidRDefault="00E25C35" w:rsidP="00CB4506">
            <w:pPr>
              <w:autoSpaceDE w:val="0"/>
              <w:autoSpaceDN w:val="0"/>
              <w:adjustRightInd w:val="0"/>
              <w:jc w:val="both"/>
              <w:outlineLvl w:val="2"/>
              <w:rPr>
                <w:rFonts w:ascii="Times New Roman" w:hAnsi="Times New Roman" w:cs="Times New Roman"/>
                <w:sz w:val="24"/>
                <w:szCs w:val="24"/>
              </w:rPr>
            </w:pPr>
          </w:p>
          <w:p w:rsidR="008D63B9" w:rsidRPr="00D423B2" w:rsidRDefault="008D63B9" w:rsidP="008D63B9">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4AB72ECB" wp14:editId="708B00C1">
                  <wp:extent cx="2085975" cy="1966503"/>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09024" cy="1988232"/>
                          </a:xfrm>
                          <a:prstGeom prst="rect">
                            <a:avLst/>
                          </a:prstGeom>
                          <a:noFill/>
                        </pic:spPr>
                      </pic:pic>
                    </a:graphicData>
                  </a:graphic>
                </wp:inline>
              </w:drawing>
            </w:r>
          </w:p>
          <w:p w:rsidR="00E25C35" w:rsidRPr="00E25C35" w:rsidRDefault="00E25C35" w:rsidP="00E25C35">
            <w:pPr>
              <w:autoSpaceDE w:val="0"/>
              <w:autoSpaceDN w:val="0"/>
              <w:adjustRightInd w:val="0"/>
              <w:jc w:val="center"/>
              <w:rPr>
                <w:rFonts w:ascii="Times New Roman" w:eastAsia="Times New Roman" w:hAnsi="Times New Roman" w:cs="Times New Roman"/>
                <w:sz w:val="16"/>
                <w:szCs w:val="16"/>
                <w:lang w:eastAsia="ru-RU"/>
              </w:rPr>
            </w:pPr>
            <w:r w:rsidRPr="00E25C35">
              <w:rPr>
                <w:rFonts w:ascii="Times New Roman" w:eastAsia="Times New Roman" w:hAnsi="Times New Roman" w:cs="Times New Roman"/>
                <w:sz w:val="16"/>
                <w:szCs w:val="16"/>
                <w:lang w:eastAsia="ru-RU"/>
              </w:rPr>
              <w:t>Рис. 11. Схема перспективного развития АО «ТАИФ-НК»</w:t>
            </w:r>
          </w:p>
          <w:p w:rsidR="008D63B9" w:rsidRPr="00D423B2" w:rsidRDefault="008D63B9" w:rsidP="008D63B9">
            <w:pPr>
              <w:autoSpaceDE w:val="0"/>
              <w:autoSpaceDN w:val="0"/>
              <w:adjustRightInd w:val="0"/>
              <w:jc w:val="center"/>
              <w:outlineLvl w:val="2"/>
              <w:rPr>
                <w:rFonts w:ascii="Times New Roman" w:eastAsia="Times New Roman" w:hAnsi="Times New Roman" w:cs="Times New Roman"/>
                <w:sz w:val="24"/>
                <w:szCs w:val="24"/>
                <w:lang w:eastAsia="ru-RU"/>
              </w:rPr>
            </w:pPr>
          </w:p>
          <w:p w:rsidR="00F05131" w:rsidRPr="00D423B2" w:rsidRDefault="009B4177" w:rsidP="009B4177">
            <w:pPr>
              <w:autoSpaceDE w:val="0"/>
              <w:autoSpaceDN w:val="0"/>
              <w:adjustRightInd w:val="0"/>
              <w:jc w:val="both"/>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          Схема перспективного развития Комплекса «ТАНЕКО» по эта</w:t>
            </w:r>
            <w:r w:rsidR="009E6435">
              <w:rPr>
                <w:rFonts w:ascii="Times New Roman" w:eastAsia="Times New Roman" w:hAnsi="Times New Roman" w:cs="Times New Roman"/>
                <w:sz w:val="24"/>
                <w:szCs w:val="24"/>
                <w:lang w:eastAsia="ru-RU"/>
              </w:rPr>
              <w:t>пам представлена на рисунке 12.</w:t>
            </w:r>
          </w:p>
          <w:p w:rsidR="00F05131" w:rsidRPr="00D423B2" w:rsidRDefault="00F05131" w:rsidP="009B4177">
            <w:pPr>
              <w:autoSpaceDE w:val="0"/>
              <w:autoSpaceDN w:val="0"/>
              <w:adjustRightInd w:val="0"/>
              <w:jc w:val="both"/>
              <w:outlineLvl w:val="2"/>
              <w:rPr>
                <w:rFonts w:ascii="Times New Roman" w:eastAsia="Times New Roman" w:hAnsi="Times New Roman" w:cs="Times New Roman"/>
                <w:sz w:val="24"/>
                <w:szCs w:val="24"/>
                <w:lang w:eastAsia="ru-RU"/>
              </w:rPr>
            </w:pPr>
          </w:p>
          <w:p w:rsidR="00FE699A" w:rsidRPr="00D423B2" w:rsidRDefault="00F05131" w:rsidP="00F05131">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1FA8D23E" wp14:editId="2A965E2E">
                  <wp:extent cx="2517877" cy="17335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29673" cy="1741672"/>
                          </a:xfrm>
                          <a:prstGeom prst="rect">
                            <a:avLst/>
                          </a:prstGeom>
                          <a:noFill/>
                        </pic:spPr>
                      </pic:pic>
                    </a:graphicData>
                  </a:graphic>
                </wp:inline>
              </w:drawing>
            </w:r>
          </w:p>
          <w:p w:rsidR="00D41C2A" w:rsidRPr="00D423B2" w:rsidRDefault="00D41C2A"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52299C" w:rsidRPr="00D423B2" w:rsidRDefault="00110308" w:rsidP="0052299C">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Рис. 12</w:t>
            </w:r>
            <w:r w:rsidR="0052299C" w:rsidRPr="00D423B2">
              <w:rPr>
                <w:rFonts w:ascii="Times New Roman" w:eastAsia="Times New Roman" w:hAnsi="Times New Roman" w:cs="Times New Roman"/>
                <w:sz w:val="16"/>
                <w:szCs w:val="16"/>
                <w:lang w:eastAsia="ru-RU"/>
              </w:rPr>
              <w:t>. Перспективная схема развития Комплекса «ТАНЕКО»</w:t>
            </w:r>
          </w:p>
          <w:p w:rsidR="00D41C2A" w:rsidRPr="00D423B2" w:rsidRDefault="00D41C2A"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 xml:space="preserve">В рамках следующих этапов реализации проекта строительства Комплекса «ТАНЕКО» планируются к пуску следующие установки: </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2019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 xml:space="preserve">ЭЛОУ-АВТ-6 с блоком стабилизации нафты – 6 000 тыс. тонн/год; </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вакуумный блок висбрекинга – 2 000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гидроочистки тяжелого газойля коксования – 850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сульфолан – 141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2020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каталитического крекинга – 1 100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опытно-промышленная установка гидроконверсии гудрона – 50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2021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комплекс получения ароматических углеводородов – 714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гидроочистки средних дистиллятов – 3 700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изодепарафинизации дизельного топлива – 1 300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производства водорода – 100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2022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газофракционирующая установка – 350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2023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алкилирования – 180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2026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гидроочистки нафты-2 – 1 700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гидрокрекинга-2 – 1 200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гидроконверсии – 2 500 тыс. тонн/год.</w:t>
            </w:r>
          </w:p>
          <w:p w:rsidR="007C58E9" w:rsidRPr="00D423B2"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 xml:space="preserve">В рассматриваемом сценарии развития нефтепереработки в период </w:t>
            </w:r>
            <w:r w:rsidRPr="00E253C4">
              <w:rPr>
                <w:rFonts w:ascii="Times New Roman" w:eastAsia="Times New Roman" w:hAnsi="Times New Roman" w:cs="Times New Roman"/>
                <w:sz w:val="24"/>
                <w:szCs w:val="24"/>
                <w:lang w:eastAsia="ru-RU"/>
              </w:rPr>
              <w:br/>
              <w:t xml:space="preserve">до 2030 года на всех нефтеперерабатывающих производствах Республики Татарстан предполагается более активный инвестиционно-инновационный процесс (данные по инвестициям представлены в </w:t>
            </w:r>
            <w:hyperlink w:anchor="P1607" w:history="1">
              <w:r w:rsidRPr="00E253C4">
                <w:rPr>
                  <w:rStyle w:val="a9"/>
                  <w:rFonts w:ascii="Times New Roman" w:eastAsia="Times New Roman" w:hAnsi="Times New Roman" w:cs="Times New Roman"/>
                  <w:color w:val="000000" w:themeColor="text1"/>
                  <w:sz w:val="24"/>
                  <w:szCs w:val="24"/>
                  <w:u w:val="none"/>
                  <w:lang w:eastAsia="ru-RU"/>
                </w:rPr>
                <w:t>таблице 11</w:t>
              </w:r>
            </w:hyperlink>
            <w:r w:rsidRPr="00E253C4">
              <w:rPr>
                <w:rFonts w:ascii="Times New Roman" w:eastAsia="Times New Roman" w:hAnsi="Times New Roman" w:cs="Times New Roman"/>
                <w:color w:val="000000" w:themeColor="text1"/>
                <w:sz w:val="24"/>
                <w:szCs w:val="24"/>
                <w:lang w:eastAsia="ru-RU"/>
              </w:rPr>
              <w:t xml:space="preserve">). </w:t>
            </w:r>
            <w:r w:rsidRPr="00E253C4">
              <w:rPr>
                <w:rFonts w:ascii="Times New Roman" w:eastAsia="Times New Roman" w:hAnsi="Times New Roman" w:cs="Times New Roman"/>
                <w:sz w:val="24"/>
                <w:szCs w:val="24"/>
                <w:lang w:eastAsia="ru-RU"/>
              </w:rPr>
              <w:t>Данный процесс будет финансироваться в основном за счет собственных средств предприятий, и результатом его станет не столько увеличение физических объемов выпуска, сколько техническое перевооружение действующих производств за счет внедрения новых технологий, разрабатываемых собственными силами предприятий, а также сторонними организациями как Республики Татарстан, так и Российской Федерации.</w:t>
            </w:r>
            <w:r w:rsidR="007C58E9" w:rsidRPr="00D423B2">
              <w:rPr>
                <w:rFonts w:ascii="Times New Roman" w:eastAsia="Times New Roman" w:hAnsi="Times New Roman" w:cs="Times New Roman"/>
                <w:sz w:val="24"/>
                <w:szCs w:val="24"/>
                <w:lang w:eastAsia="ru-RU"/>
              </w:rPr>
              <w:t xml:space="preserve">глеводородного сырья </w:t>
            </w:r>
            <w:hyperlink w:anchor="P1629" w:history="1">
              <w:r w:rsidR="007C58E9" w:rsidRPr="00D423B2">
                <w:rPr>
                  <w:rFonts w:ascii="Times New Roman" w:eastAsia="Times New Roman" w:hAnsi="Times New Roman" w:cs="Times New Roman"/>
                  <w:sz w:val="24"/>
                  <w:szCs w:val="24"/>
                  <w:lang w:eastAsia="ru-RU"/>
                </w:rPr>
                <w:t>(таблица 12)</w:t>
              </w:r>
            </w:hyperlink>
            <w:r w:rsidR="007C58E9" w:rsidRPr="00D423B2">
              <w:rPr>
                <w:rFonts w:ascii="Times New Roman" w:eastAsia="Times New Roman" w:hAnsi="Times New Roman" w:cs="Times New Roman"/>
                <w:sz w:val="24"/>
                <w:szCs w:val="24"/>
                <w:lang w:eastAsia="ru-RU"/>
              </w:rPr>
              <w:t>.</w:t>
            </w:r>
          </w:p>
          <w:p w:rsidR="004C7A98" w:rsidRPr="00D423B2" w:rsidRDefault="004C7A98" w:rsidP="007C58E9">
            <w:pPr>
              <w:autoSpaceDE w:val="0"/>
              <w:autoSpaceDN w:val="0"/>
              <w:adjustRightInd w:val="0"/>
              <w:ind w:firstLine="709"/>
              <w:jc w:val="both"/>
              <w:rPr>
                <w:rFonts w:ascii="Times New Roman" w:eastAsia="Times New Roman" w:hAnsi="Times New Roman" w:cs="Times New Roman"/>
                <w:sz w:val="24"/>
                <w:szCs w:val="24"/>
                <w:lang w:eastAsia="ru-RU"/>
              </w:rPr>
            </w:pPr>
          </w:p>
          <w:p w:rsidR="004C7A98" w:rsidRPr="00D423B2" w:rsidRDefault="00E253C4" w:rsidP="004C7A98">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4C7A98" w:rsidRPr="00D423B2">
              <w:rPr>
                <w:rFonts w:ascii="Times New Roman" w:eastAsia="Times New Roman" w:hAnsi="Times New Roman" w:cs="Times New Roman"/>
                <w:sz w:val="24"/>
                <w:szCs w:val="24"/>
                <w:lang w:eastAsia="ru-RU"/>
              </w:rPr>
              <w:t>11</w:t>
            </w:r>
          </w:p>
          <w:p w:rsidR="004C7A98" w:rsidRPr="00D423B2" w:rsidRDefault="004C7A98" w:rsidP="004C7A98">
            <w:pPr>
              <w:autoSpaceDE w:val="0"/>
              <w:autoSpaceDN w:val="0"/>
              <w:adjustRightInd w:val="0"/>
              <w:jc w:val="both"/>
              <w:rPr>
                <w:rFonts w:ascii="Times New Roman" w:eastAsia="Times New Roman" w:hAnsi="Times New Roman" w:cs="Times New Roman"/>
                <w:sz w:val="24"/>
                <w:szCs w:val="24"/>
                <w:lang w:eastAsia="ru-RU"/>
              </w:rPr>
            </w:pPr>
          </w:p>
          <w:p w:rsidR="00F71592" w:rsidRDefault="00F71592" w:rsidP="00D72F10">
            <w:pPr>
              <w:autoSpaceDE w:val="0"/>
              <w:autoSpaceDN w:val="0"/>
              <w:adjustRightInd w:val="0"/>
              <w:jc w:val="center"/>
              <w:rPr>
                <w:rFonts w:ascii="Times New Roman" w:eastAsia="Times New Roman" w:hAnsi="Times New Roman" w:cs="Times New Roman"/>
                <w:sz w:val="24"/>
                <w:szCs w:val="24"/>
                <w:lang w:eastAsia="ru-RU"/>
              </w:rPr>
            </w:pPr>
            <w:bookmarkStart w:id="8" w:name="P1607"/>
            <w:bookmarkEnd w:id="8"/>
            <w:r w:rsidRPr="00F71592">
              <w:rPr>
                <w:rFonts w:ascii="Times New Roman" w:eastAsia="Times New Roman" w:hAnsi="Times New Roman" w:cs="Times New Roman"/>
                <w:sz w:val="24"/>
                <w:szCs w:val="24"/>
                <w:lang w:eastAsia="ru-RU"/>
              </w:rPr>
              <w:t>Объем инвестиций в развитие нефтеперерабатывающей отрасли</w:t>
            </w:r>
            <w:r w:rsidR="00D72F10">
              <w:rPr>
                <w:rFonts w:ascii="Times New Roman" w:eastAsia="Times New Roman" w:hAnsi="Times New Roman" w:cs="Times New Roman"/>
                <w:sz w:val="24"/>
                <w:szCs w:val="24"/>
                <w:lang w:eastAsia="ru-RU"/>
              </w:rPr>
              <w:t xml:space="preserve"> </w:t>
            </w:r>
            <w:r w:rsidRPr="00F71592">
              <w:rPr>
                <w:rFonts w:ascii="Times New Roman" w:eastAsia="Times New Roman" w:hAnsi="Times New Roman" w:cs="Times New Roman"/>
                <w:sz w:val="24"/>
                <w:szCs w:val="24"/>
                <w:lang w:eastAsia="ru-RU"/>
              </w:rPr>
              <w:t>Республики Татарстан (по данным предприятий отрасли)</w:t>
            </w:r>
          </w:p>
          <w:p w:rsidR="002634AA" w:rsidRPr="00F71592" w:rsidRDefault="002634AA" w:rsidP="00D72F10">
            <w:pPr>
              <w:autoSpaceDE w:val="0"/>
              <w:autoSpaceDN w:val="0"/>
              <w:adjustRightInd w:val="0"/>
              <w:jc w:val="center"/>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123"/>
              <w:gridCol w:w="723"/>
              <w:gridCol w:w="724"/>
              <w:gridCol w:w="724"/>
              <w:gridCol w:w="724"/>
            </w:tblGrid>
            <w:tr w:rsidR="002634AA" w:rsidRPr="00EE54D2" w:rsidTr="001F0D96">
              <w:tc>
                <w:tcPr>
                  <w:tcW w:w="2116"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Наименование показателя / годы</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2017 – 2018</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2019 – 2023</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2024 – 2028</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2029 – 2030</w:t>
                  </w:r>
                </w:p>
              </w:tc>
            </w:tr>
            <w:tr w:rsidR="002634AA" w:rsidRPr="00EE54D2" w:rsidTr="001F0D96">
              <w:tc>
                <w:tcPr>
                  <w:tcW w:w="2116" w:type="pct"/>
                </w:tcPr>
                <w:p w:rsidR="002634AA" w:rsidRPr="002634AA" w:rsidRDefault="002634AA" w:rsidP="002634AA">
                  <w:pPr>
                    <w:pStyle w:val="ConsPlusNormal"/>
                    <w:spacing w:before="60" w:after="60"/>
                    <w:jc w:val="both"/>
                    <w:rPr>
                      <w:rFonts w:ascii="Times New Roman" w:hAnsi="Times New Roman" w:cs="Times New Roman"/>
                      <w:sz w:val="16"/>
                      <w:szCs w:val="16"/>
                    </w:rPr>
                  </w:pPr>
                  <w:r w:rsidRPr="002634AA">
                    <w:rPr>
                      <w:rFonts w:ascii="Times New Roman" w:hAnsi="Times New Roman" w:cs="Times New Roman"/>
                      <w:sz w:val="16"/>
                      <w:szCs w:val="16"/>
                    </w:rPr>
                    <w:t>Объем инвестиций в основной капитал предприятий нефтепереработки, млрд рублей, в том числе</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104,61</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130,52</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83,01</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4,91</w:t>
                  </w:r>
                </w:p>
              </w:tc>
            </w:tr>
            <w:tr w:rsidR="002634AA" w:rsidRPr="00EE54D2" w:rsidTr="001F0D96">
              <w:tc>
                <w:tcPr>
                  <w:tcW w:w="2116" w:type="pct"/>
                </w:tcPr>
                <w:p w:rsidR="002634AA" w:rsidRPr="002634AA" w:rsidRDefault="002634AA" w:rsidP="002634AA">
                  <w:pPr>
                    <w:pStyle w:val="ConsPlusNormal"/>
                    <w:spacing w:before="60" w:after="60"/>
                    <w:ind w:left="431"/>
                    <w:rPr>
                      <w:rFonts w:ascii="Times New Roman" w:hAnsi="Times New Roman" w:cs="Times New Roman"/>
                      <w:sz w:val="16"/>
                      <w:szCs w:val="16"/>
                    </w:rPr>
                  </w:pPr>
                  <w:r w:rsidRPr="002634AA">
                    <w:rPr>
                      <w:rFonts w:ascii="Times New Roman" w:hAnsi="Times New Roman" w:cs="Times New Roman"/>
                      <w:sz w:val="16"/>
                      <w:szCs w:val="16"/>
                    </w:rPr>
                    <w:t>ПАО «Татнефть»</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73,21</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117,55</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74,68</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1,58</w:t>
                  </w:r>
                </w:p>
              </w:tc>
            </w:tr>
            <w:tr w:rsidR="002634AA" w:rsidRPr="00EE54D2" w:rsidTr="001F0D96">
              <w:tc>
                <w:tcPr>
                  <w:tcW w:w="2116" w:type="pct"/>
                </w:tcPr>
                <w:p w:rsidR="002634AA" w:rsidRPr="002634AA" w:rsidRDefault="002634AA" w:rsidP="002634AA">
                  <w:pPr>
                    <w:pStyle w:val="ConsPlusNormal"/>
                    <w:spacing w:before="60" w:after="60"/>
                    <w:ind w:left="431"/>
                    <w:rPr>
                      <w:rFonts w:ascii="Times New Roman" w:hAnsi="Times New Roman" w:cs="Times New Roman"/>
                      <w:sz w:val="16"/>
                      <w:szCs w:val="16"/>
                    </w:rPr>
                  </w:pPr>
                  <w:r w:rsidRPr="002634AA">
                    <w:rPr>
                      <w:rFonts w:ascii="Times New Roman" w:hAnsi="Times New Roman" w:cs="Times New Roman"/>
                      <w:sz w:val="16"/>
                      <w:szCs w:val="16"/>
                    </w:rPr>
                    <w:t>АО «ТАИФ-НК»</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31,4</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12,97</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8,33</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3,33</w:t>
                  </w:r>
                </w:p>
              </w:tc>
            </w:tr>
          </w:tbl>
          <w:p w:rsidR="00B872E0" w:rsidRPr="00D423B2" w:rsidRDefault="00B872E0" w:rsidP="00B872E0">
            <w:pPr>
              <w:autoSpaceDE w:val="0"/>
              <w:autoSpaceDN w:val="0"/>
              <w:adjustRightInd w:val="0"/>
              <w:jc w:val="both"/>
              <w:rPr>
                <w:rFonts w:ascii="Times New Roman" w:eastAsia="Times New Roman" w:hAnsi="Times New Roman" w:cs="Times New Roman"/>
                <w:sz w:val="28"/>
                <w:szCs w:val="28"/>
                <w:lang w:eastAsia="ru-RU"/>
              </w:rPr>
            </w:pPr>
          </w:p>
          <w:p w:rsidR="001D5B7D" w:rsidRPr="001D5B7D" w:rsidRDefault="001D5B7D" w:rsidP="001D5B7D">
            <w:pPr>
              <w:autoSpaceDE w:val="0"/>
              <w:autoSpaceDN w:val="0"/>
              <w:adjustRightInd w:val="0"/>
              <w:ind w:firstLine="709"/>
              <w:jc w:val="both"/>
              <w:rPr>
                <w:rFonts w:ascii="Times New Roman" w:eastAsia="Times New Roman" w:hAnsi="Times New Roman" w:cs="Times New Roman"/>
                <w:sz w:val="24"/>
                <w:szCs w:val="24"/>
                <w:lang w:eastAsia="ru-RU"/>
              </w:rPr>
            </w:pPr>
            <w:r w:rsidRPr="001D5B7D">
              <w:rPr>
                <w:rFonts w:ascii="Times New Roman" w:eastAsia="Times New Roman" w:hAnsi="Times New Roman" w:cs="Times New Roman"/>
                <w:sz w:val="24"/>
                <w:szCs w:val="24"/>
                <w:lang w:eastAsia="ru-RU"/>
              </w:rPr>
              <w:t>Предполагается, что к 2026 году научный и технологический потенциал нефтеперерабатывающей отрасли республики достигнет конкурентоспособного уровня, и о собственных новых технологиях можно будет говорить как об экспортоспособном и импортозамещающем продукте.</w:t>
            </w:r>
          </w:p>
          <w:p w:rsidR="001D5B7D" w:rsidRPr="001D5B7D" w:rsidRDefault="001D5B7D" w:rsidP="001D5B7D">
            <w:pPr>
              <w:autoSpaceDE w:val="0"/>
              <w:autoSpaceDN w:val="0"/>
              <w:adjustRightInd w:val="0"/>
              <w:ind w:firstLine="709"/>
              <w:jc w:val="both"/>
              <w:rPr>
                <w:rFonts w:ascii="Times New Roman" w:eastAsia="Times New Roman" w:hAnsi="Times New Roman" w:cs="Times New Roman"/>
                <w:sz w:val="24"/>
                <w:szCs w:val="24"/>
                <w:lang w:eastAsia="ru-RU"/>
              </w:rPr>
            </w:pPr>
            <w:r w:rsidRPr="001D5B7D">
              <w:rPr>
                <w:rFonts w:ascii="Times New Roman" w:eastAsia="Times New Roman" w:hAnsi="Times New Roman" w:cs="Times New Roman"/>
                <w:sz w:val="24"/>
                <w:szCs w:val="24"/>
                <w:lang w:eastAsia="ru-RU"/>
              </w:rPr>
              <w:t xml:space="preserve">В результате реализации инвестиционных программ предприятий отрасли мощности по переработке нефти в Республике Татарстан возрастут с 17 млн тонн до 24 млн тонн с соответствующим ростом объемов выпуска и экспорта нефтепродуктов, а также поставкой нефтепродуктов и углеводородных газов на предприятия нефтехимии Республики Татарстан в рамках дальнейшего развития внутриреспубликанской кооперации по переработке углеводородного сырья </w:t>
            </w:r>
            <w:hyperlink w:anchor="P1629" w:history="1">
              <w:r w:rsidRPr="001D5B7D">
                <w:rPr>
                  <w:rFonts w:ascii="Times New Roman" w:eastAsia="Times New Roman" w:hAnsi="Times New Roman" w:cs="Times New Roman"/>
                  <w:sz w:val="24"/>
                  <w:szCs w:val="24"/>
                  <w:lang w:eastAsia="ru-RU"/>
                </w:rPr>
                <w:t>(таблица 12)</w:t>
              </w:r>
            </w:hyperlink>
            <w:r w:rsidRPr="001D5B7D">
              <w:rPr>
                <w:rFonts w:ascii="Times New Roman" w:eastAsia="Times New Roman" w:hAnsi="Times New Roman" w:cs="Times New Roman"/>
                <w:sz w:val="24"/>
                <w:szCs w:val="24"/>
                <w:lang w:eastAsia="ru-RU"/>
              </w:rPr>
              <w:t>.</w:t>
            </w:r>
            <w:bookmarkStart w:id="9" w:name="P1582"/>
            <w:bookmarkEnd w:id="9"/>
          </w:p>
          <w:p w:rsidR="00D72F10" w:rsidRDefault="00D72F10" w:rsidP="00570578">
            <w:pPr>
              <w:autoSpaceDE w:val="0"/>
              <w:autoSpaceDN w:val="0"/>
              <w:adjustRightInd w:val="0"/>
              <w:jc w:val="right"/>
              <w:outlineLvl w:val="3"/>
              <w:rPr>
                <w:rFonts w:ascii="Times New Roman" w:eastAsia="Times New Roman" w:hAnsi="Times New Roman" w:cs="Times New Roman"/>
                <w:sz w:val="24"/>
                <w:szCs w:val="24"/>
                <w:lang w:eastAsia="ru-RU"/>
              </w:rPr>
            </w:pPr>
          </w:p>
          <w:p w:rsidR="00570578" w:rsidRPr="00D423B2" w:rsidRDefault="00570578" w:rsidP="00570578">
            <w:pPr>
              <w:autoSpaceDE w:val="0"/>
              <w:autoSpaceDN w:val="0"/>
              <w:adjustRightInd w:val="0"/>
              <w:jc w:val="right"/>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Таблица 12</w:t>
            </w:r>
          </w:p>
          <w:p w:rsidR="00570578" w:rsidRPr="00D423B2" w:rsidRDefault="00570578" w:rsidP="00570578">
            <w:pPr>
              <w:autoSpaceDE w:val="0"/>
              <w:autoSpaceDN w:val="0"/>
              <w:adjustRightInd w:val="0"/>
              <w:jc w:val="both"/>
              <w:rPr>
                <w:rFonts w:ascii="Times New Roman" w:eastAsia="Times New Roman" w:hAnsi="Times New Roman" w:cs="Times New Roman"/>
                <w:sz w:val="24"/>
                <w:szCs w:val="24"/>
                <w:lang w:eastAsia="ru-RU"/>
              </w:rPr>
            </w:pPr>
          </w:p>
          <w:p w:rsidR="00DC4EA6" w:rsidRDefault="00DC4EA6" w:rsidP="00DC4EA6">
            <w:pPr>
              <w:autoSpaceDE w:val="0"/>
              <w:autoSpaceDN w:val="0"/>
              <w:adjustRightInd w:val="0"/>
              <w:jc w:val="center"/>
              <w:rPr>
                <w:rFonts w:ascii="Times New Roman" w:eastAsia="Times New Roman" w:hAnsi="Times New Roman" w:cs="Times New Roman"/>
                <w:sz w:val="24"/>
                <w:szCs w:val="24"/>
                <w:lang w:eastAsia="ru-RU"/>
              </w:rPr>
            </w:pPr>
            <w:bookmarkStart w:id="10" w:name="P1629"/>
            <w:bookmarkEnd w:id="10"/>
            <w:r w:rsidRPr="00DC4EA6">
              <w:rPr>
                <w:rFonts w:ascii="Times New Roman" w:eastAsia="Times New Roman" w:hAnsi="Times New Roman" w:cs="Times New Roman"/>
                <w:sz w:val="24"/>
                <w:szCs w:val="24"/>
                <w:lang w:eastAsia="ru-RU"/>
              </w:rPr>
              <w:t>Перспективный объем перерабатываемой нефти в АО «ТАИФ-НК»</w:t>
            </w:r>
            <w:r>
              <w:rPr>
                <w:rFonts w:ascii="Times New Roman" w:eastAsia="Times New Roman" w:hAnsi="Times New Roman" w:cs="Times New Roman"/>
                <w:sz w:val="24"/>
                <w:szCs w:val="24"/>
                <w:lang w:eastAsia="ru-RU"/>
              </w:rPr>
              <w:t xml:space="preserve"> </w:t>
            </w:r>
            <w:r w:rsidRPr="00DC4EA6">
              <w:rPr>
                <w:rFonts w:ascii="Times New Roman" w:eastAsia="Times New Roman" w:hAnsi="Times New Roman" w:cs="Times New Roman"/>
                <w:sz w:val="24"/>
                <w:szCs w:val="24"/>
                <w:lang w:eastAsia="ru-RU"/>
              </w:rPr>
              <w:t>и Комплексе «ТАНЕКО» (по прогнозным данным предприятий отрасли</w:t>
            </w:r>
            <w:bookmarkStart w:id="11" w:name="P1659"/>
            <w:bookmarkEnd w:id="11"/>
            <w:r w:rsidRPr="00DC4EA6">
              <w:rPr>
                <w:rFonts w:ascii="Times New Roman" w:eastAsia="Times New Roman" w:hAnsi="Times New Roman" w:cs="Times New Roman"/>
                <w:sz w:val="24"/>
                <w:szCs w:val="24"/>
                <w:lang w:eastAsia="ru-RU"/>
              </w:rPr>
              <w:t>)</w:t>
            </w:r>
          </w:p>
          <w:p w:rsidR="003362E9" w:rsidRPr="00DC4EA6" w:rsidRDefault="003362E9" w:rsidP="00DC4EA6">
            <w:pPr>
              <w:autoSpaceDE w:val="0"/>
              <w:autoSpaceDN w:val="0"/>
              <w:adjustRightInd w:val="0"/>
              <w:jc w:val="center"/>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234"/>
              <w:gridCol w:w="557"/>
              <w:gridCol w:w="557"/>
              <w:gridCol w:w="557"/>
              <w:gridCol w:w="557"/>
              <w:gridCol w:w="556"/>
            </w:tblGrid>
            <w:tr w:rsidR="003362E9" w:rsidRPr="00EE54D2" w:rsidTr="001F0D96">
              <w:tc>
                <w:tcPr>
                  <w:tcW w:w="2226"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Наименование показателя / годы</w:t>
                  </w:r>
                </w:p>
              </w:tc>
              <w:tc>
                <w:tcPr>
                  <w:tcW w:w="555"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2017</w:t>
                  </w:r>
                </w:p>
              </w:tc>
              <w:tc>
                <w:tcPr>
                  <w:tcW w:w="555"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2018</w:t>
                  </w:r>
                </w:p>
              </w:tc>
              <w:tc>
                <w:tcPr>
                  <w:tcW w:w="555"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2020</w:t>
                  </w:r>
                </w:p>
              </w:tc>
              <w:tc>
                <w:tcPr>
                  <w:tcW w:w="555"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2025</w:t>
                  </w:r>
                </w:p>
              </w:tc>
              <w:tc>
                <w:tcPr>
                  <w:tcW w:w="555"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2030</w:t>
                  </w:r>
                </w:p>
              </w:tc>
            </w:tr>
            <w:tr w:rsidR="003362E9" w:rsidRPr="00EE54D2" w:rsidTr="001F0D96">
              <w:tc>
                <w:tcPr>
                  <w:tcW w:w="2226" w:type="pct"/>
                </w:tcPr>
                <w:p w:rsidR="003362E9" w:rsidRPr="003362E9" w:rsidRDefault="003362E9" w:rsidP="003362E9">
                  <w:pPr>
                    <w:pStyle w:val="ConsPlusNormal"/>
                    <w:spacing w:before="60" w:after="60"/>
                    <w:rPr>
                      <w:rFonts w:ascii="Times New Roman" w:hAnsi="Times New Roman" w:cs="Times New Roman"/>
                      <w:sz w:val="16"/>
                      <w:szCs w:val="16"/>
                    </w:rPr>
                  </w:pPr>
                  <w:r w:rsidRPr="003362E9">
                    <w:rPr>
                      <w:rFonts w:ascii="Times New Roman" w:hAnsi="Times New Roman" w:cs="Times New Roman"/>
                      <w:sz w:val="16"/>
                      <w:szCs w:val="16"/>
                    </w:rPr>
                    <w:t>Объем перерабатываемой нефти, млн тонн в том числе</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16,048</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16,909</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19,779</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19,747</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23,623</w:t>
                  </w:r>
                </w:p>
              </w:tc>
            </w:tr>
            <w:tr w:rsidR="003362E9" w:rsidRPr="00EE54D2" w:rsidTr="001F0D96">
              <w:tc>
                <w:tcPr>
                  <w:tcW w:w="2226" w:type="pct"/>
                </w:tcPr>
                <w:p w:rsidR="003362E9" w:rsidRPr="003362E9" w:rsidRDefault="003362E9" w:rsidP="003362E9">
                  <w:pPr>
                    <w:pStyle w:val="ConsPlusNormal"/>
                    <w:spacing w:before="60" w:after="60"/>
                    <w:ind w:firstLine="283"/>
                    <w:jc w:val="both"/>
                    <w:rPr>
                      <w:rFonts w:ascii="Times New Roman" w:hAnsi="Times New Roman" w:cs="Times New Roman"/>
                      <w:sz w:val="16"/>
                      <w:szCs w:val="16"/>
                    </w:rPr>
                  </w:pPr>
                  <w:r w:rsidRPr="003362E9">
                    <w:rPr>
                      <w:rFonts w:ascii="Times New Roman" w:hAnsi="Times New Roman" w:cs="Times New Roman"/>
                      <w:sz w:val="16"/>
                      <w:szCs w:val="16"/>
                    </w:rPr>
                    <w:t>АО «ТАИФ-НК»</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8,2</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8,3</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8,3</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8,3</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8,3</w:t>
                  </w:r>
                </w:p>
              </w:tc>
            </w:tr>
            <w:tr w:rsidR="003362E9" w:rsidRPr="00EE54D2" w:rsidTr="001F0D96">
              <w:tc>
                <w:tcPr>
                  <w:tcW w:w="2226" w:type="pct"/>
                </w:tcPr>
                <w:p w:rsidR="003362E9" w:rsidRPr="003362E9" w:rsidRDefault="003362E9" w:rsidP="003362E9">
                  <w:pPr>
                    <w:pStyle w:val="ConsPlusNormal"/>
                    <w:spacing w:before="60" w:after="60"/>
                    <w:ind w:firstLine="283"/>
                    <w:jc w:val="both"/>
                    <w:rPr>
                      <w:rFonts w:ascii="Times New Roman" w:hAnsi="Times New Roman" w:cs="Times New Roman"/>
                      <w:sz w:val="16"/>
                      <w:szCs w:val="16"/>
                    </w:rPr>
                  </w:pPr>
                  <w:r w:rsidRPr="003362E9">
                    <w:rPr>
                      <w:rFonts w:ascii="Times New Roman" w:hAnsi="Times New Roman" w:cs="Times New Roman"/>
                      <w:sz w:val="16"/>
                      <w:szCs w:val="16"/>
                    </w:rPr>
                    <w:t>Комплекс «ТАНЕКО»</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7,848</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8,609</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11,479</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11,447</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15,323</w:t>
                  </w:r>
                </w:p>
              </w:tc>
            </w:tr>
          </w:tbl>
          <w:p w:rsidR="00015DBE" w:rsidRPr="00D423B2" w:rsidRDefault="00015DBE" w:rsidP="00015DBE">
            <w:pPr>
              <w:autoSpaceDE w:val="0"/>
              <w:autoSpaceDN w:val="0"/>
              <w:adjustRightInd w:val="0"/>
              <w:ind w:firstLine="708"/>
              <w:jc w:val="both"/>
              <w:outlineLvl w:val="3"/>
              <w:rPr>
                <w:rFonts w:ascii="Times New Roman" w:eastAsia="Times New Roman" w:hAnsi="Times New Roman" w:cs="Times New Roman"/>
                <w:sz w:val="28"/>
                <w:szCs w:val="28"/>
                <w:lang w:eastAsia="ru-RU"/>
              </w:rPr>
            </w:pPr>
          </w:p>
          <w:p w:rsidR="00AC7DED" w:rsidRDefault="00AC7DED" w:rsidP="00AC7DED">
            <w:pPr>
              <w:autoSpaceDE w:val="0"/>
              <w:autoSpaceDN w:val="0"/>
              <w:adjustRightInd w:val="0"/>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AC7DED">
              <w:rPr>
                <w:rFonts w:ascii="Times New Roman" w:eastAsia="Times New Roman" w:hAnsi="Times New Roman" w:cs="Times New Roman"/>
                <w:sz w:val="24"/>
                <w:szCs w:val="24"/>
                <w:lang w:eastAsia="ru-RU"/>
              </w:rPr>
              <w:t xml:space="preserve">Объемы выпускаемой основной товарной продукции предприятиями нефтеперерабатывающей промышленности Республики Татарстан в перспективе </w:t>
            </w:r>
            <w:r w:rsidRPr="00AC7DED">
              <w:rPr>
                <w:rFonts w:ascii="Times New Roman" w:eastAsia="Times New Roman" w:hAnsi="Times New Roman" w:cs="Times New Roman"/>
                <w:sz w:val="24"/>
                <w:szCs w:val="24"/>
                <w:lang w:eastAsia="ru-RU"/>
              </w:rPr>
              <w:br/>
              <w:t>до 2030 года приведены в таблице 13.</w:t>
            </w:r>
          </w:p>
          <w:p w:rsidR="00AC7DED" w:rsidRDefault="00AC7DED" w:rsidP="00AC7DED">
            <w:pPr>
              <w:autoSpaceDE w:val="0"/>
              <w:autoSpaceDN w:val="0"/>
              <w:adjustRightInd w:val="0"/>
              <w:jc w:val="right"/>
              <w:outlineLvl w:val="3"/>
              <w:rPr>
                <w:rFonts w:ascii="Times New Roman" w:eastAsia="Times New Roman" w:hAnsi="Times New Roman" w:cs="Times New Roman"/>
                <w:sz w:val="24"/>
                <w:szCs w:val="24"/>
                <w:lang w:eastAsia="ru-RU"/>
              </w:rPr>
            </w:pPr>
          </w:p>
          <w:p w:rsidR="00015DBE" w:rsidRPr="00D423B2" w:rsidRDefault="00AC7DED" w:rsidP="00AC7DED">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015DBE" w:rsidRPr="00D423B2">
              <w:rPr>
                <w:rFonts w:ascii="Times New Roman" w:eastAsia="Times New Roman" w:hAnsi="Times New Roman" w:cs="Times New Roman"/>
                <w:sz w:val="24"/>
                <w:szCs w:val="24"/>
                <w:lang w:eastAsia="ru-RU"/>
              </w:rPr>
              <w:t>13</w:t>
            </w:r>
          </w:p>
          <w:p w:rsidR="00015DBE" w:rsidRPr="00D423B2" w:rsidRDefault="00015DBE" w:rsidP="00015DBE">
            <w:pPr>
              <w:autoSpaceDE w:val="0"/>
              <w:autoSpaceDN w:val="0"/>
              <w:adjustRightInd w:val="0"/>
              <w:jc w:val="both"/>
              <w:rPr>
                <w:rFonts w:ascii="Times New Roman" w:eastAsia="Times New Roman" w:hAnsi="Times New Roman" w:cs="Times New Roman"/>
                <w:sz w:val="24"/>
                <w:szCs w:val="24"/>
                <w:lang w:eastAsia="ru-RU"/>
              </w:rPr>
            </w:pPr>
          </w:p>
          <w:p w:rsidR="00484FDB" w:rsidRPr="00484FDB" w:rsidRDefault="00484FDB" w:rsidP="00484FDB">
            <w:pPr>
              <w:autoSpaceDE w:val="0"/>
              <w:autoSpaceDN w:val="0"/>
              <w:adjustRightInd w:val="0"/>
              <w:jc w:val="center"/>
              <w:rPr>
                <w:rFonts w:ascii="Times New Roman" w:eastAsia="Times New Roman" w:hAnsi="Times New Roman" w:cs="Times New Roman"/>
                <w:sz w:val="24"/>
                <w:szCs w:val="24"/>
                <w:lang w:eastAsia="ru-RU"/>
              </w:rPr>
            </w:pPr>
            <w:bookmarkStart w:id="12" w:name="P1668"/>
            <w:bookmarkEnd w:id="12"/>
            <w:r w:rsidRPr="00484FDB">
              <w:rPr>
                <w:rFonts w:ascii="Times New Roman" w:eastAsia="Times New Roman" w:hAnsi="Times New Roman" w:cs="Times New Roman"/>
                <w:sz w:val="24"/>
                <w:szCs w:val="24"/>
                <w:lang w:eastAsia="ru-RU"/>
              </w:rPr>
              <w:t>Производство основной товарной продукции</w:t>
            </w:r>
          </w:p>
          <w:p w:rsidR="00484FDB" w:rsidRPr="00484FDB" w:rsidRDefault="00484FDB" w:rsidP="00484FDB">
            <w:pPr>
              <w:autoSpaceDE w:val="0"/>
              <w:autoSpaceDN w:val="0"/>
              <w:adjustRightInd w:val="0"/>
              <w:jc w:val="center"/>
              <w:rPr>
                <w:rFonts w:ascii="Times New Roman" w:eastAsia="Times New Roman" w:hAnsi="Times New Roman" w:cs="Times New Roman"/>
                <w:sz w:val="24"/>
                <w:szCs w:val="24"/>
                <w:lang w:eastAsia="ru-RU"/>
              </w:rPr>
            </w:pPr>
            <w:r w:rsidRPr="00484FDB">
              <w:rPr>
                <w:rFonts w:ascii="Times New Roman" w:eastAsia="Times New Roman" w:hAnsi="Times New Roman" w:cs="Times New Roman"/>
                <w:sz w:val="24"/>
                <w:szCs w:val="24"/>
                <w:lang w:eastAsia="ru-RU"/>
              </w:rPr>
              <w:t>в нефтеперерабатывающей промышленности Республики Татарстан</w:t>
            </w:r>
            <w:r>
              <w:rPr>
                <w:rFonts w:ascii="Times New Roman" w:eastAsia="Times New Roman" w:hAnsi="Times New Roman" w:cs="Times New Roman"/>
                <w:sz w:val="24"/>
                <w:szCs w:val="24"/>
                <w:lang w:eastAsia="ru-RU"/>
              </w:rPr>
              <w:t xml:space="preserve"> </w:t>
            </w:r>
            <w:r w:rsidRPr="00484FDB">
              <w:rPr>
                <w:rFonts w:ascii="Times New Roman" w:eastAsia="Times New Roman" w:hAnsi="Times New Roman" w:cs="Times New Roman"/>
                <w:sz w:val="24"/>
                <w:szCs w:val="24"/>
                <w:lang w:eastAsia="ru-RU"/>
              </w:rPr>
              <w:t>(по прогнозным данным предприятий отрасли)</w:t>
            </w:r>
          </w:p>
          <w:p w:rsidR="00B872E0" w:rsidRDefault="00B872E0" w:rsidP="00F05131">
            <w:pPr>
              <w:autoSpaceDE w:val="0"/>
              <w:autoSpaceDN w:val="0"/>
              <w:adjustRightInd w:val="0"/>
              <w:jc w:val="center"/>
              <w:outlineLvl w:val="2"/>
              <w:rPr>
                <w:rFonts w:ascii="Times New Roman" w:eastAsia="Times New Roman" w:hAnsi="Times New Roman" w:cs="Times New Roman"/>
                <w:sz w:val="24"/>
                <w:szCs w:val="24"/>
                <w:lang w:eastAsia="ru-RU"/>
              </w:rPr>
            </w:pPr>
          </w:p>
          <w:tbl>
            <w:tblPr>
              <w:tblW w:w="4810" w:type="dxa"/>
              <w:tblInd w:w="108" w:type="dxa"/>
              <w:tblLayout w:type="fixed"/>
              <w:tblLook w:val="04A0" w:firstRow="1" w:lastRow="0" w:firstColumn="1" w:lastColumn="0" w:noHBand="0" w:noVBand="1"/>
            </w:tblPr>
            <w:tblGrid>
              <w:gridCol w:w="1793"/>
              <w:gridCol w:w="505"/>
              <w:gridCol w:w="540"/>
              <w:gridCol w:w="621"/>
              <w:gridCol w:w="608"/>
              <w:gridCol w:w="743"/>
            </w:tblGrid>
            <w:tr w:rsidR="000D3B27" w:rsidRPr="00EE54D2" w:rsidTr="000D3B27">
              <w:trPr>
                <w:trHeight w:val="780"/>
              </w:trPr>
              <w:tc>
                <w:tcPr>
                  <w:tcW w:w="17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Наименование товарной продукции/годы</w:t>
                  </w:r>
                </w:p>
              </w:tc>
              <w:tc>
                <w:tcPr>
                  <w:tcW w:w="505" w:type="dxa"/>
                  <w:tcBorders>
                    <w:top w:val="single" w:sz="4" w:space="0" w:color="auto"/>
                    <w:left w:val="nil"/>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2017</w:t>
                  </w:r>
                </w:p>
              </w:tc>
              <w:tc>
                <w:tcPr>
                  <w:tcW w:w="540" w:type="dxa"/>
                  <w:tcBorders>
                    <w:top w:val="single" w:sz="4" w:space="0" w:color="auto"/>
                    <w:left w:val="nil"/>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2018</w:t>
                  </w:r>
                </w:p>
              </w:tc>
              <w:tc>
                <w:tcPr>
                  <w:tcW w:w="621" w:type="dxa"/>
                  <w:tcBorders>
                    <w:top w:val="single" w:sz="4" w:space="0" w:color="auto"/>
                    <w:left w:val="nil"/>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2020</w:t>
                  </w:r>
                </w:p>
              </w:tc>
              <w:tc>
                <w:tcPr>
                  <w:tcW w:w="608" w:type="dxa"/>
                  <w:tcBorders>
                    <w:top w:val="single" w:sz="4" w:space="0" w:color="auto"/>
                    <w:left w:val="nil"/>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2025</w:t>
                  </w:r>
                </w:p>
              </w:tc>
              <w:tc>
                <w:tcPr>
                  <w:tcW w:w="743" w:type="dxa"/>
                  <w:tcBorders>
                    <w:top w:val="single" w:sz="4" w:space="0" w:color="auto"/>
                    <w:left w:val="nil"/>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2030</w:t>
                  </w:r>
                </w:p>
              </w:tc>
            </w:tr>
            <w:tr w:rsidR="000D3B27" w:rsidRPr="00EE54D2" w:rsidTr="000D3B27">
              <w:trPr>
                <w:trHeight w:val="78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Прямогонный бензин/ БГС/Нафта,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3 140,78</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3 271,87</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3 218,85</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3 664,97</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4 819,07</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1 533,98</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1 750,17</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1 969,15</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2 180,47</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2 180,47</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1 606,80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1 521,70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1 249,70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1 484,50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2 638,60</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Автобензины,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479,09</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630,50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2 317,65</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2 320,01</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2 414,11</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479,09</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551,70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655,65</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678,41</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678,41</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78,80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1 662,00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1 641,60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1 735,70</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Дизельное топливо,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3 639,76</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4 896,25</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6 996,41</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9 997,46</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11 668,66</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2 230,16</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2 612,55</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3 726,51</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4 226,56</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4 226,56</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1 409,60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2 283,70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3 269,90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5 770,90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7 442,10</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Керосин/авиакеросин,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640,94</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960,09</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1 384,82</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1 382,61</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1 585,61</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396,24</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394,29</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476,02</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476,11</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476,11</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244,70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565,80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908,80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906,50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1 109,50</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Мазут,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1 995,00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2 068,75</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147,91</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0,00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0,00</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1 995,00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2 068,75</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147,91</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Сера,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118,36</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163,96</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262,36</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298,37</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350,97</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36,66</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54,06</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94,56</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112,37</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112,37</w:t>
                  </w:r>
                </w:p>
              </w:tc>
            </w:tr>
            <w:tr w:rsidR="000D3B27" w:rsidRPr="00EE54D2" w:rsidTr="000D3B27">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81,70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109,90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167,80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186,00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238,60</w:t>
                  </w:r>
                </w:p>
              </w:tc>
            </w:tr>
          </w:tbl>
          <w:p w:rsidR="000D3B27" w:rsidRPr="00D423B2" w:rsidRDefault="000D3B27"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5B6025" w:rsidRPr="00D423B2" w:rsidRDefault="005B6025" w:rsidP="005B6025">
            <w:pPr>
              <w:jc w:val="center"/>
              <w:rPr>
                <w:rFonts w:ascii="Times New Roman" w:eastAsia="Times New Roman" w:hAnsi="Times New Roman" w:cs="Times New Roman"/>
                <w:b/>
                <w:sz w:val="24"/>
                <w:szCs w:val="28"/>
                <w:lang w:eastAsia="ru-RU"/>
              </w:rPr>
            </w:pPr>
          </w:p>
          <w:p w:rsidR="00B031E6" w:rsidRPr="00D423B2" w:rsidRDefault="00B031E6" w:rsidP="00B031E6">
            <w:pPr>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3.7. Газовая отрасль</w:t>
            </w:r>
          </w:p>
          <w:p w:rsidR="00B031E6" w:rsidRPr="00D423B2" w:rsidRDefault="00B031E6" w:rsidP="00B031E6">
            <w:pPr>
              <w:ind w:firstLine="708"/>
              <w:rPr>
                <w:rFonts w:ascii="Times New Roman" w:eastAsia="Times New Roman" w:hAnsi="Times New Roman" w:cs="Times New Roman"/>
                <w:sz w:val="24"/>
                <w:szCs w:val="24"/>
                <w:lang w:eastAsia="ru-RU"/>
              </w:rPr>
            </w:pPr>
          </w:p>
          <w:p w:rsidR="00B031E6" w:rsidRPr="00D423B2" w:rsidRDefault="00B031E6" w:rsidP="00B031E6">
            <w:pPr>
              <w:ind w:firstLine="708"/>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3.7.1. Потребление природного газа в Республике Татарстан</w:t>
            </w:r>
          </w:p>
          <w:p w:rsidR="008475FD" w:rsidRPr="00D423B2" w:rsidRDefault="008475FD" w:rsidP="00B031E6">
            <w:pPr>
              <w:ind w:firstLine="708"/>
              <w:rPr>
                <w:rFonts w:ascii="Times New Roman" w:eastAsia="Times New Roman" w:hAnsi="Times New Roman" w:cs="Times New Roman"/>
                <w:sz w:val="24"/>
                <w:szCs w:val="24"/>
                <w:lang w:eastAsia="ru-RU"/>
              </w:rPr>
            </w:pP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Республика Татарстан является одним из крупнейших потребителей природного газа в Поволжском регионе России. Природный газ в основном обеспечивает потребность Татарстана в первичных энергоресурсах. Многолетнее стабильное сотрудничество с ПАО «Газпром» по вопросам поставки природного газа потребителям Республики Татарстан позволяет обеспечить эффективное и динамичное социально-экономическое развитие республики.</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Основными предприятиями газовой отрасли республики являются АО «Газпром межрегионгаз Казань» – специализированная региональная организация по реализации газа, ООО «Газпром трансгаз Казань» – региональная газораспределительная организация, ООО «Газпром сжиженный газ» – специализированный оператор по реализации сжиженных углеводородных газов, филиал ООО «Газпром газомоторное топливо» в г.Казани – единый оператор по развитию рынка газомоторного топлива.</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Принимая во внимание значительные объемы потребления природного газа, постоянный рост цен на него, увеличение числа участников газового рынка, в Республике Татарстан придается большое значение проблемам эффективного использования природного газа.</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В рамках сформированной в Республике Татарстан законодательной базы в области энергосбережения и энергоресурсоэффективности накоплен большой опыт по обеспечению рационального и эффективного газопотребления.</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В республике на постоянной основе проводится работа по совершенствованию системы учета и контроля за поставками и потреблением природного газа. В целях создания условий для обеспечения высокой точности учета потребления природного газа в 2008 году было подписано Соглашение о сотрудничестве между ПАО «Газпром», Федеральным агентством по техническому регулированию и метрологии и Кабинетом Министров Республики Татарстан по совершенствованию эталонной и испытательной базы средств измерений расхода и количества природного газа, сжиженного природного газа и газового конденсата.</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Благодаря позитивной динамике социально-экономического развития Республики Татарстан возникла дополнительная потребность в природном газе как для обеспечения населения, жилищно-коммунального и социального комплексов, так и для реализации стратегических проектов в промышленности.</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 xml:space="preserve">По итогам 2018 года потребление республикой природного газа составило 18,083 млрд куб.м, по сравнению с 2000 годом (14,335 млрд куб.м) рост составил </w:t>
            </w:r>
            <w:r w:rsidRPr="006E025E">
              <w:rPr>
                <w:rFonts w:ascii="Times New Roman" w:eastAsia="Times New Roman" w:hAnsi="Times New Roman" w:cs="Times New Roman"/>
                <w:sz w:val="24"/>
                <w:szCs w:val="24"/>
                <w:lang w:eastAsia="ru-RU"/>
              </w:rPr>
              <w:br/>
              <w:t>26 процентов.</w:t>
            </w:r>
          </w:p>
          <w:p w:rsidR="00393C20" w:rsidRPr="00D423B2" w:rsidRDefault="00393C20" w:rsidP="008475FD">
            <w:pPr>
              <w:ind w:firstLine="709"/>
              <w:jc w:val="both"/>
              <w:rPr>
                <w:rFonts w:ascii="Times New Roman" w:eastAsia="Times New Roman" w:hAnsi="Times New Roman" w:cs="Times New Roman"/>
                <w:sz w:val="24"/>
                <w:szCs w:val="24"/>
                <w:lang w:eastAsia="ru-RU"/>
              </w:rPr>
            </w:pPr>
          </w:p>
          <w:p w:rsidR="008475FD" w:rsidRPr="00D423B2" w:rsidRDefault="00393C20" w:rsidP="00B031E6">
            <w:pPr>
              <w:ind w:firstLine="708"/>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65A7D364" wp14:editId="72658482">
                  <wp:extent cx="2542813" cy="143827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61902" cy="1449072"/>
                          </a:xfrm>
                          <a:prstGeom prst="rect">
                            <a:avLst/>
                          </a:prstGeom>
                          <a:noFill/>
                        </pic:spPr>
                      </pic:pic>
                    </a:graphicData>
                  </a:graphic>
                </wp:inline>
              </w:drawing>
            </w:r>
          </w:p>
          <w:p w:rsidR="00B031E6" w:rsidRPr="00D423B2" w:rsidRDefault="00B031E6" w:rsidP="005B6025">
            <w:pPr>
              <w:jc w:val="center"/>
              <w:rPr>
                <w:rFonts w:ascii="Times New Roman" w:eastAsia="Times New Roman" w:hAnsi="Times New Roman" w:cs="Times New Roman"/>
                <w:b/>
                <w:sz w:val="24"/>
                <w:szCs w:val="28"/>
                <w:lang w:eastAsia="ru-RU"/>
              </w:rPr>
            </w:pPr>
          </w:p>
          <w:p w:rsidR="00540320" w:rsidRPr="00540320" w:rsidRDefault="00540320" w:rsidP="00540320">
            <w:pPr>
              <w:ind w:firstLine="709"/>
              <w:jc w:val="center"/>
              <w:rPr>
                <w:rFonts w:ascii="Times New Roman" w:eastAsia="Times New Roman" w:hAnsi="Times New Roman" w:cs="Times New Roman"/>
                <w:sz w:val="16"/>
                <w:szCs w:val="16"/>
                <w:lang w:eastAsia="ru-RU"/>
              </w:rPr>
            </w:pPr>
            <w:r w:rsidRPr="00540320">
              <w:rPr>
                <w:rFonts w:ascii="Times New Roman" w:eastAsia="Times New Roman" w:hAnsi="Times New Roman" w:cs="Times New Roman"/>
                <w:sz w:val="16"/>
                <w:szCs w:val="16"/>
                <w:lang w:eastAsia="ru-RU"/>
              </w:rPr>
              <w:t>Рис. 13. Динамика и прогноз потребления природного газа в Республике Татарстан</w:t>
            </w:r>
          </w:p>
          <w:p w:rsidR="005B6025" w:rsidRPr="00D423B2" w:rsidRDefault="005B6025"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173DE8" w:rsidRPr="00D423B2" w:rsidRDefault="00173DE8" w:rsidP="00173DE8">
            <w:pPr>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3.7.1.1. Потребление природного газа в энергетической отрасли и жилищно-коммунальном хозяйстве Республики Татарстан</w:t>
            </w:r>
          </w:p>
          <w:p w:rsidR="00173DE8" w:rsidRPr="00D423B2" w:rsidRDefault="00173DE8" w:rsidP="00173DE8">
            <w:pPr>
              <w:ind w:firstLine="709"/>
              <w:jc w:val="both"/>
              <w:rPr>
                <w:rFonts w:ascii="Times New Roman" w:eastAsia="Times New Roman" w:hAnsi="Times New Roman" w:cs="Times New Roman"/>
                <w:sz w:val="24"/>
                <w:szCs w:val="24"/>
                <w:lang w:eastAsia="ru-RU"/>
              </w:rPr>
            </w:pPr>
          </w:p>
          <w:p w:rsidR="00540320" w:rsidRPr="00540320" w:rsidRDefault="00540320" w:rsidP="00540320">
            <w:pPr>
              <w:ind w:firstLine="709"/>
              <w:jc w:val="both"/>
              <w:rPr>
                <w:rFonts w:ascii="Times New Roman" w:eastAsia="Times New Roman" w:hAnsi="Times New Roman" w:cs="Times New Roman"/>
                <w:sz w:val="24"/>
                <w:szCs w:val="24"/>
                <w:lang w:eastAsia="ru-RU"/>
              </w:rPr>
            </w:pPr>
            <w:r w:rsidRPr="00540320">
              <w:rPr>
                <w:rFonts w:ascii="Times New Roman" w:eastAsia="Times New Roman" w:hAnsi="Times New Roman" w:cs="Times New Roman"/>
                <w:sz w:val="24"/>
                <w:szCs w:val="24"/>
                <w:lang w:eastAsia="ru-RU"/>
              </w:rPr>
              <w:t>Одна из динамично развивающихся отраслей Республики Татарстан – энергетическая отрасль. От ее работы напрямую зависят конкурентоспособность и рентабельность предприятий, общий уровень социально-экономического развития региона и благосостояние населения.</w:t>
            </w:r>
          </w:p>
          <w:p w:rsidR="00540320" w:rsidRPr="00540320" w:rsidRDefault="00540320" w:rsidP="00540320">
            <w:pPr>
              <w:ind w:firstLine="709"/>
              <w:jc w:val="both"/>
              <w:rPr>
                <w:rFonts w:ascii="Times New Roman" w:eastAsia="Times New Roman" w:hAnsi="Times New Roman" w:cs="Times New Roman"/>
                <w:sz w:val="24"/>
                <w:szCs w:val="24"/>
                <w:lang w:eastAsia="ru-RU"/>
              </w:rPr>
            </w:pPr>
            <w:r w:rsidRPr="00540320">
              <w:rPr>
                <w:rFonts w:ascii="Times New Roman" w:eastAsia="Times New Roman" w:hAnsi="Times New Roman" w:cs="Times New Roman"/>
                <w:sz w:val="24"/>
                <w:szCs w:val="24"/>
                <w:lang w:eastAsia="ru-RU"/>
              </w:rPr>
              <w:t>Основными потребителями газа в сфере энергетики в Республике Татарстан являются АО «Татэнерго», АО «ТГК-16», ООО «Нижнекамская ТЭЦ».</w:t>
            </w:r>
          </w:p>
          <w:p w:rsidR="00A25501" w:rsidRDefault="00A25501"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A25501" w:rsidRDefault="00A25501"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173DE8" w:rsidRPr="00D423B2" w:rsidRDefault="009F16BA" w:rsidP="00F05131">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anchor distT="0" distB="0" distL="114300" distR="114300" simplePos="0" relativeHeight="251661312" behindDoc="0" locked="0" layoutInCell="1" allowOverlap="1" wp14:anchorId="3B995F9F" wp14:editId="05F61BED">
                  <wp:simplePos x="0" y="0"/>
                  <wp:positionH relativeFrom="column">
                    <wp:posOffset>147955</wp:posOffset>
                  </wp:positionH>
                  <wp:positionV relativeFrom="paragraph">
                    <wp:posOffset>182880</wp:posOffset>
                  </wp:positionV>
                  <wp:extent cx="591185" cy="231775"/>
                  <wp:effectExtent l="0" t="0" r="0" b="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185" cy="231775"/>
                          </a:xfrm>
                          <a:prstGeom prst="rect">
                            <a:avLst/>
                          </a:prstGeom>
                          <a:noFill/>
                        </pic:spPr>
                      </pic:pic>
                    </a:graphicData>
                  </a:graphic>
                </wp:anchor>
              </w:drawing>
            </w:r>
          </w:p>
          <w:p w:rsidR="00E110CB" w:rsidRPr="00D423B2" w:rsidRDefault="00FB772E" w:rsidP="00F05131">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4D99F950" wp14:editId="26FE3DF7">
                  <wp:extent cx="2954744" cy="13525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57176" cy="1353663"/>
                          </a:xfrm>
                          <a:prstGeom prst="rect">
                            <a:avLst/>
                          </a:prstGeom>
                          <a:noFill/>
                        </pic:spPr>
                      </pic:pic>
                    </a:graphicData>
                  </a:graphic>
                </wp:inline>
              </w:drawing>
            </w:r>
          </w:p>
          <w:p w:rsidR="00FB772E" w:rsidRPr="00D423B2" w:rsidRDefault="00FB772E"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A0734D" w:rsidRPr="00A0734D" w:rsidRDefault="00A0734D" w:rsidP="00A0734D">
            <w:pPr>
              <w:ind w:left="709"/>
              <w:jc w:val="center"/>
              <w:rPr>
                <w:rFonts w:ascii="Times New Roman" w:eastAsia="Times New Roman" w:hAnsi="Times New Roman" w:cs="Times New Roman"/>
                <w:i/>
                <w:sz w:val="16"/>
                <w:szCs w:val="16"/>
                <w:lang w:eastAsia="ru-RU"/>
              </w:rPr>
            </w:pPr>
            <w:r w:rsidRPr="00A0734D">
              <w:rPr>
                <w:rFonts w:ascii="Times New Roman" w:eastAsia="Times New Roman" w:hAnsi="Times New Roman" w:cs="Times New Roman"/>
                <w:sz w:val="16"/>
                <w:szCs w:val="16"/>
                <w:lang w:eastAsia="ru-RU"/>
              </w:rPr>
              <w:t>Рис. 14. Динамика и прогноз потребления природного газа в энергетической отрасли и жилищно-коммунальном хозяйстве Республики Татарстан</w:t>
            </w:r>
          </w:p>
          <w:p w:rsidR="00A0734D" w:rsidRDefault="00A0734D" w:rsidP="005B4B85">
            <w:pPr>
              <w:autoSpaceDE w:val="0"/>
              <w:autoSpaceDN w:val="0"/>
              <w:adjustRightInd w:val="0"/>
              <w:ind w:firstLine="709"/>
              <w:jc w:val="both"/>
              <w:rPr>
                <w:rFonts w:ascii="TimesNewRomanPSMT" w:eastAsia="Calibri" w:hAnsi="TimesNewRomanPSMT" w:cs="TimesNewRomanPSMT"/>
                <w:sz w:val="24"/>
                <w:szCs w:val="24"/>
                <w:lang w:eastAsia="ru-RU"/>
              </w:rPr>
            </w:pP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 xml:space="preserve">Основной объем потребления газа приходится на энергетику и жилищно-коммунальное хозяйство – 58,3 процента внутриреспубликанского потребления по итогам 2018 года. По данным АО «Газпром межрегионгаз Казань», в 2018 году общий объем потребления в сфере энергетики и жилищно-коммунальном хозяйстве Республики Татарстан составил 10 540,4 млн куб. метров, в том числе в жилищно-коммунальном хозяйстве 820,9 млн куб. метров. За период с 2017 по 2018 год объемы потребления в энергетике и жилищно-коммунальном хозяйстве выросли на 15,5 процента. </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Крупными предприятиями энергетической отрасли Республики Татарстан до 2030 года запланирован к реализации ряд проектов, которые в свою очередь потребуют дополнительного обеспечения природным газом.</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 xml:space="preserve">1) АО «Татэнерго» планирует следующие проекты: </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модернизация Заинской ГРЭС путем перевода паросилового цикла на парогазовый, мощностью 1 600-1 800 МВт (требуется утверждение Правительственной комиссией в рамках постановления Правительства Российской Федерации от 25 января 2019 года № 43 «О проведении отборов проектов модернизации генерирующих объектов тепловых электростанций»);</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замещение паросиловых мощностей Набережночелнинской ТЭЦ на энергоустановки с использованием ПГУ, мощностью 230 МВт. Ввод в эксплуатацию планируется до 2030 года;</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создание резерва тепловой мощности в целях технологического подключения потребителей (проект «Седьмое небо»), мощностью 100 Гкал/ч. Реализация проекта запланирована в период с 2020 по 2026 годы.</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2) АО «ТГК-16» планирует следующие проекты:</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в 2022-2025 годах на Нижнекамской ТЭЦ ПТК-1 планируется строительство новой надстройки ГТУ SGT5 8000H (140+30ATA), мощностью 435 МВт.</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в 2023-2025 годах на Нижнекамской ТЭЦ ПТК-1 планируется модернизация турбоагрегата ст. № 3 (ТГ-3), мощностью 102 МВт.</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В результате их реализации к 2030 году объем потребления газа в данных сферах (при умеренном росте потребления в жилищно-коммунальном хозяйстве) должен вырасти до 14 068,3 млн куб. метров, или на 33,5 процента).</w:t>
            </w:r>
          </w:p>
          <w:p w:rsidR="007E4930" w:rsidRPr="007E4930" w:rsidRDefault="007E4930" w:rsidP="007E4930">
            <w:pPr>
              <w:autoSpaceDE w:val="0"/>
              <w:autoSpaceDN w:val="0"/>
              <w:adjustRightInd w:val="0"/>
              <w:ind w:firstLine="709"/>
              <w:jc w:val="both"/>
              <w:rPr>
                <w:rFonts w:ascii="TimesNewRomanPSMT" w:eastAsia="Calibri" w:hAnsi="TimesNewRomanPSMT" w:cs="TimesNewRomanPSMT"/>
                <w:b/>
                <w:sz w:val="24"/>
                <w:szCs w:val="24"/>
                <w:lang w:eastAsia="ru-RU"/>
              </w:rPr>
            </w:pPr>
          </w:p>
          <w:p w:rsidR="00C701E1" w:rsidRPr="00D423B2" w:rsidRDefault="007E4930" w:rsidP="007E493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701E1" w:rsidRPr="00D423B2">
              <w:rPr>
                <w:rFonts w:ascii="Times New Roman" w:eastAsia="Times New Roman" w:hAnsi="Times New Roman" w:cs="Times New Roman"/>
                <w:sz w:val="24"/>
                <w:szCs w:val="24"/>
                <w:lang w:eastAsia="ru-RU"/>
              </w:rPr>
              <w:t>3.7.1.2. Потребление природного газа</w:t>
            </w:r>
            <w:r w:rsidR="00C701E1" w:rsidRPr="00D423B2">
              <w:rPr>
                <w:rFonts w:ascii="Times New Roman" w:eastAsia="Times New Roman" w:hAnsi="Times New Roman" w:cs="Times New Roman"/>
                <w:i/>
                <w:sz w:val="24"/>
                <w:szCs w:val="24"/>
                <w:lang w:eastAsia="ru-RU"/>
              </w:rPr>
              <w:t xml:space="preserve"> </w:t>
            </w:r>
            <w:r w:rsidR="00C701E1" w:rsidRPr="00D423B2">
              <w:rPr>
                <w:rFonts w:ascii="Times New Roman" w:eastAsia="Times New Roman" w:hAnsi="Times New Roman" w:cs="Times New Roman"/>
                <w:sz w:val="24"/>
                <w:szCs w:val="24"/>
                <w:lang w:eastAsia="ru-RU"/>
              </w:rPr>
              <w:t>населением и бюджетными организациями</w:t>
            </w:r>
          </w:p>
          <w:p w:rsidR="00F806DC" w:rsidRPr="00F806DC" w:rsidRDefault="008166C6" w:rsidP="00F806DC">
            <w:pPr>
              <w:jc w:val="both"/>
              <w:rPr>
                <w:rFonts w:ascii="Times New Roman" w:eastAsia="Times New Roman" w:hAnsi="Times New Roman" w:cs="Times New Roman"/>
                <w:sz w:val="24"/>
                <w:szCs w:val="24"/>
                <w:lang w:eastAsia="ru-RU"/>
              </w:rPr>
            </w:pPr>
            <w:r>
              <w:rPr>
                <w:rFonts w:ascii="Times New Roman" w:eastAsia="Times New Roman" w:hAnsi="Times New Roman" w:cs="Times New Roman"/>
                <w:i/>
                <w:sz w:val="24"/>
                <w:szCs w:val="24"/>
                <w:lang w:eastAsia="ru-RU"/>
              </w:rPr>
              <w:t xml:space="preserve">     </w:t>
            </w:r>
            <w:r w:rsidR="00F806DC" w:rsidRPr="00F806DC">
              <w:rPr>
                <w:rFonts w:ascii="Times New Roman" w:eastAsia="Times New Roman" w:hAnsi="Times New Roman" w:cs="Times New Roman"/>
                <w:sz w:val="24"/>
                <w:szCs w:val="24"/>
                <w:lang w:eastAsia="ru-RU"/>
              </w:rPr>
              <w:t xml:space="preserve">Объем потребления природного газа населением в 2018 году составил </w:t>
            </w:r>
            <w:r w:rsidR="00F806DC" w:rsidRPr="00F806DC">
              <w:rPr>
                <w:rFonts w:ascii="Times New Roman" w:eastAsia="Times New Roman" w:hAnsi="Times New Roman" w:cs="Times New Roman"/>
                <w:sz w:val="24"/>
                <w:szCs w:val="24"/>
                <w:lang w:eastAsia="ru-RU"/>
              </w:rPr>
              <w:br/>
              <w:t xml:space="preserve">1 889,6 млн куб. метров (10,4 процента), что выше на 5 процентов по сравнению с 2017 годом. </w:t>
            </w:r>
          </w:p>
          <w:p w:rsidR="00F806DC" w:rsidRPr="00F806DC" w:rsidRDefault="00F806DC" w:rsidP="00F806DC">
            <w:pPr>
              <w:jc w:val="both"/>
              <w:rPr>
                <w:rFonts w:ascii="Times New Roman" w:eastAsia="Times New Roman" w:hAnsi="Times New Roman" w:cs="Times New Roman"/>
                <w:sz w:val="24"/>
                <w:szCs w:val="24"/>
                <w:lang w:eastAsia="ru-RU"/>
              </w:rPr>
            </w:pPr>
            <w:r w:rsidRPr="00F806DC">
              <w:rPr>
                <w:rFonts w:ascii="Times New Roman" w:eastAsia="Times New Roman" w:hAnsi="Times New Roman" w:cs="Times New Roman"/>
                <w:sz w:val="24"/>
                <w:szCs w:val="24"/>
                <w:lang w:eastAsia="ru-RU"/>
              </w:rPr>
              <w:t>Объем потребления природного газа бюджетными организациями за 2018 год составил 118 млн куб. метров (0,6 процента), или 102,6 процента к уровню</w:t>
            </w:r>
            <w:r w:rsidRPr="00F806DC">
              <w:rPr>
                <w:rFonts w:ascii="Times New Roman" w:eastAsia="Times New Roman" w:hAnsi="Times New Roman" w:cs="Times New Roman"/>
                <w:sz w:val="24"/>
                <w:szCs w:val="24"/>
                <w:lang w:eastAsia="ru-RU"/>
              </w:rPr>
              <w:br/>
              <w:t xml:space="preserve">2017 года. </w:t>
            </w:r>
          </w:p>
          <w:p w:rsidR="00C701E1" w:rsidRPr="00D423B2" w:rsidRDefault="00EB0055" w:rsidP="00C701E1">
            <w:pPr>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anchor distT="0" distB="0" distL="114300" distR="114300" simplePos="0" relativeHeight="251658240" behindDoc="0" locked="0" layoutInCell="1" allowOverlap="1" wp14:anchorId="029C06A6" wp14:editId="36B7C095">
                  <wp:simplePos x="0" y="0"/>
                  <wp:positionH relativeFrom="column">
                    <wp:posOffset>233680</wp:posOffset>
                  </wp:positionH>
                  <wp:positionV relativeFrom="paragraph">
                    <wp:posOffset>167640</wp:posOffset>
                  </wp:positionV>
                  <wp:extent cx="589280" cy="228600"/>
                  <wp:effectExtent l="0" t="0" r="0" b="0"/>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9280" cy="228600"/>
                          </a:xfrm>
                          <a:prstGeom prst="rect">
                            <a:avLst/>
                          </a:prstGeom>
                          <a:noFill/>
                        </pic:spPr>
                      </pic:pic>
                    </a:graphicData>
                  </a:graphic>
                  <wp14:sizeRelH relativeFrom="page">
                    <wp14:pctWidth>0</wp14:pctWidth>
                  </wp14:sizeRelH>
                  <wp14:sizeRelV relativeFrom="page">
                    <wp14:pctHeight>0</wp14:pctHeight>
                  </wp14:sizeRelV>
                </wp:anchor>
              </w:drawing>
            </w:r>
          </w:p>
          <w:p w:rsidR="00EB0055" w:rsidRPr="00D423B2" w:rsidRDefault="00EB0055" w:rsidP="00EB0055">
            <w:pPr>
              <w:jc w:val="center"/>
              <w:rPr>
                <w:rFonts w:ascii="Times New Roman" w:eastAsia="Times New Roman" w:hAnsi="Times New Roman" w:cs="Times New Roman"/>
                <w:sz w:val="28"/>
                <w:szCs w:val="28"/>
                <w:lang w:eastAsia="ru-RU"/>
              </w:rPr>
            </w:pPr>
            <w:r w:rsidRPr="00D423B2">
              <w:rPr>
                <w:rFonts w:ascii="Times New Roman" w:eastAsia="Times New Roman" w:hAnsi="Times New Roman" w:cs="Times New Roman"/>
                <w:noProof/>
                <w:sz w:val="28"/>
                <w:szCs w:val="28"/>
                <w:lang w:eastAsia="ru-RU"/>
              </w:rPr>
              <w:drawing>
                <wp:inline distT="0" distB="0" distL="0" distR="0" wp14:anchorId="4263E966" wp14:editId="0DFDD3A9">
                  <wp:extent cx="2652462" cy="115252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52462" cy="1152525"/>
                          </a:xfrm>
                          <a:prstGeom prst="rect">
                            <a:avLst/>
                          </a:prstGeom>
                          <a:noFill/>
                        </pic:spPr>
                      </pic:pic>
                    </a:graphicData>
                  </a:graphic>
                </wp:inline>
              </w:drawing>
            </w:r>
          </w:p>
          <w:p w:rsidR="00974502" w:rsidRPr="00D423B2" w:rsidRDefault="00974502" w:rsidP="00974502">
            <w:pPr>
              <w:ind w:left="709"/>
              <w:jc w:val="center"/>
              <w:rPr>
                <w:rFonts w:ascii="Times New Roman" w:eastAsia="Times New Roman" w:hAnsi="Times New Roman" w:cs="Times New Roman"/>
                <w:sz w:val="24"/>
                <w:szCs w:val="24"/>
                <w:lang w:eastAsia="ru-RU"/>
              </w:rPr>
            </w:pPr>
          </w:p>
          <w:p w:rsidR="00E34525" w:rsidRPr="00E34525" w:rsidRDefault="00E34525" w:rsidP="00E34525">
            <w:pPr>
              <w:ind w:left="709"/>
              <w:jc w:val="center"/>
              <w:rPr>
                <w:rFonts w:ascii="Times New Roman" w:eastAsia="Times New Roman" w:hAnsi="Times New Roman" w:cs="Times New Roman"/>
                <w:sz w:val="16"/>
                <w:szCs w:val="16"/>
                <w:lang w:eastAsia="ru-RU"/>
              </w:rPr>
            </w:pPr>
            <w:r w:rsidRPr="00E34525">
              <w:rPr>
                <w:rFonts w:ascii="Times New Roman" w:eastAsia="Times New Roman" w:hAnsi="Times New Roman" w:cs="Times New Roman"/>
                <w:sz w:val="16"/>
                <w:szCs w:val="16"/>
                <w:lang w:eastAsia="ru-RU"/>
              </w:rPr>
              <w:t>Рис. 15. Динамика и прогноз потребления природного газа</w:t>
            </w:r>
            <w:r w:rsidRPr="00E34525">
              <w:rPr>
                <w:rFonts w:ascii="Times New Roman" w:eastAsia="Times New Roman" w:hAnsi="Times New Roman" w:cs="Times New Roman"/>
                <w:sz w:val="16"/>
                <w:szCs w:val="16"/>
                <w:lang w:eastAsia="ru-RU"/>
              </w:rPr>
              <w:br/>
              <w:t xml:space="preserve"> населением и бюджетными организациями</w:t>
            </w:r>
          </w:p>
          <w:p w:rsidR="00974502" w:rsidRPr="00D423B2" w:rsidRDefault="00974502" w:rsidP="00974502">
            <w:pPr>
              <w:ind w:firstLine="709"/>
              <w:jc w:val="both"/>
              <w:rPr>
                <w:rFonts w:ascii="Times New Roman" w:eastAsia="Times New Roman" w:hAnsi="Times New Roman" w:cs="Times New Roman"/>
                <w:sz w:val="16"/>
                <w:szCs w:val="16"/>
                <w:lang w:eastAsia="ru-RU"/>
              </w:rPr>
            </w:pPr>
          </w:p>
          <w:p w:rsidR="005E6853" w:rsidRPr="005E6853" w:rsidRDefault="005E6853" w:rsidP="005E6853">
            <w:pPr>
              <w:autoSpaceDE w:val="0"/>
              <w:autoSpaceDN w:val="0"/>
              <w:adjustRightInd w:val="0"/>
              <w:ind w:firstLine="709"/>
              <w:jc w:val="both"/>
              <w:rPr>
                <w:rFonts w:ascii="Times New Roman" w:eastAsia="Times New Roman" w:hAnsi="Times New Roman" w:cs="Times New Roman"/>
                <w:sz w:val="24"/>
                <w:szCs w:val="24"/>
                <w:lang w:eastAsia="ru-RU"/>
              </w:rPr>
            </w:pPr>
            <w:r w:rsidRPr="005E6853">
              <w:rPr>
                <w:rFonts w:ascii="Times New Roman" w:eastAsia="Times New Roman" w:hAnsi="Times New Roman" w:cs="Times New Roman"/>
                <w:sz w:val="24"/>
                <w:szCs w:val="24"/>
                <w:lang w:eastAsia="ru-RU"/>
              </w:rPr>
              <w:t>В настоящее время в рамках федеральной целевой программы «Устойчивое развитие сельских территорий на 2014 – 2017 годы и на период до 2020 года» и реализации мер по предоставлению бесплатных земельных участков многодетным семьям в Республике Татарстан осуществляется интенсивное жилищное строительство, что влечет необходимость увеличения объемов поставок газа для обеспечения населения природным газом. В этих целях Правительство Республики Татарстан ведет планомерную работу по газификации территорий путем строительства новых, реконструкции существующих сетей газоснабжения и газораспределительных установок</w:t>
            </w:r>
            <w:r w:rsidRPr="005E6853">
              <w:rPr>
                <w:rFonts w:ascii="Times New Roman" w:eastAsia="Times New Roman" w:hAnsi="Times New Roman" w:cs="Times New Roman"/>
                <w:i/>
                <w:sz w:val="24"/>
                <w:szCs w:val="24"/>
                <w:lang w:eastAsia="ru-RU"/>
              </w:rPr>
              <w:t>.</w:t>
            </w:r>
          </w:p>
          <w:p w:rsidR="000717E6" w:rsidRPr="00D423B2" w:rsidRDefault="000717E6" w:rsidP="005E6853">
            <w:pPr>
              <w:jc w:val="both"/>
              <w:rPr>
                <w:rFonts w:ascii="Times New Roman" w:eastAsia="Times New Roman" w:hAnsi="Times New Roman" w:cs="Times New Roman"/>
                <w:sz w:val="28"/>
                <w:szCs w:val="28"/>
                <w:lang w:eastAsia="ru-RU"/>
              </w:rPr>
            </w:pPr>
          </w:p>
          <w:p w:rsidR="000717E6" w:rsidRPr="00D423B2" w:rsidRDefault="000717E6" w:rsidP="000717E6">
            <w:pPr>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3.7.1.3. Потребление природного газа в промышленности</w:t>
            </w:r>
          </w:p>
          <w:p w:rsidR="000717E6" w:rsidRPr="00D423B2" w:rsidRDefault="000717E6" w:rsidP="000717E6">
            <w:pPr>
              <w:ind w:firstLine="709"/>
              <w:jc w:val="both"/>
              <w:rPr>
                <w:rFonts w:ascii="Times New Roman" w:eastAsia="Times New Roman" w:hAnsi="Times New Roman" w:cs="Times New Roman"/>
                <w:sz w:val="24"/>
                <w:szCs w:val="24"/>
                <w:lang w:eastAsia="ru-RU"/>
              </w:rPr>
            </w:pP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Природный газ является ценнейшим сырьем для нефтегазохимической промышленности, развитие которой может дать мощный импульс как экономике Республики Татарстан, так и экономике Российской Федерации в целом.</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Переориентация использования газа с топливных на сырьевые цели обеспечит рост производства с более высокой добавленной стоимостью, позволит пополнить доходы республиканского бюджета, создать дополнительные рабочие места.</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Во исполнение задач по формированию основ национальной конкурентоспособности, преодолению зависимости от сырьевого экспорта и созданию новых эффективных предприятий в Нижнекамском промышленном узле Республики Татарстан, включающим в себя Нижнекамский, Альметьевский, Менделеевский промышленные районы, г. Набережные Челны и Особую экономическую зону промышленно-производственного типа «Алабуга», осуществляются масштабные проекты, направленные на совершенствование процессов добычи и переработки углеводородного сырья.</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К указанным проектам относятся проекты строительства Комплекса глубокой переработки тяжелых остатков нефтеперерабатывающего завода АО «ТАИФ-НК»; «Олефиновый комплекс» (ЭП-600) ПАО «Нижнекамскнефтехим» Комплекса «ТАНЕКО»; разработка Ашальчинского нефтебитумного месторождения с использованием новых тепловых методов извлечения. Планируется создание экономической зоны промышленно-производственного типа «АлмА» на территории Альметьевского муниципального района, Нижнекамского муниципального района и Лениногорского муниципального района Республики Татарстан. Кроме того, уже в 2016 году состоялся запуск завода АО «Аммоний» по производству аммиака, метанола и гранулированного карбамида в г. Менделеевск.</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Одновременно с ростом промышленного потребления газа будет увеличиваться и потребность энергетического комплекса республики в природном газе для обеспечения надежного энергоснабжения новых потребителей.</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 xml:space="preserve">Доля промышленности в потреблении газа за 2018 год составила </w:t>
            </w:r>
            <w:r w:rsidRPr="00784718">
              <w:rPr>
                <w:rFonts w:ascii="Times New Roman" w:eastAsia="Times New Roman" w:hAnsi="Times New Roman" w:cs="Times New Roman"/>
                <w:sz w:val="24"/>
                <w:szCs w:val="24"/>
                <w:lang w:eastAsia="ru-RU"/>
              </w:rPr>
              <w:br/>
              <w:t xml:space="preserve">30,6 процента. Объем потребления природного газа в промышленности в 2018 году составил 5 533,7 млн куб. метров (рост на 29 процентов по сравнению с 2017 годом). </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Тенденция опережающего роста промышленного газопотребления в Республике Татарстан в прогнозируемом периоде до 2030 года сохранится.</w:t>
            </w:r>
          </w:p>
          <w:p w:rsidR="000717E6" w:rsidRDefault="000717E6" w:rsidP="00CF5782">
            <w:pPr>
              <w:autoSpaceDE w:val="0"/>
              <w:autoSpaceDN w:val="0"/>
              <w:adjustRightInd w:val="0"/>
              <w:ind w:firstLine="709"/>
              <w:jc w:val="both"/>
              <w:rPr>
                <w:rFonts w:ascii="Times New Roman" w:eastAsia="Calibri" w:hAnsi="Times New Roman" w:cs="Times New Roman"/>
                <w:sz w:val="24"/>
                <w:szCs w:val="24"/>
                <w:lang w:eastAsia="ru-RU"/>
              </w:rPr>
            </w:pPr>
          </w:p>
          <w:p w:rsidR="003F255B" w:rsidRDefault="003F255B" w:rsidP="00CF5782">
            <w:pPr>
              <w:autoSpaceDE w:val="0"/>
              <w:autoSpaceDN w:val="0"/>
              <w:adjustRightInd w:val="0"/>
              <w:ind w:firstLine="709"/>
              <w:jc w:val="both"/>
              <w:rPr>
                <w:rFonts w:ascii="Times New Roman" w:eastAsia="Calibri" w:hAnsi="Times New Roman" w:cs="Times New Roman"/>
                <w:sz w:val="24"/>
                <w:szCs w:val="24"/>
                <w:lang w:eastAsia="ru-RU"/>
              </w:rPr>
            </w:pPr>
          </w:p>
          <w:p w:rsidR="003F255B" w:rsidRDefault="003F255B" w:rsidP="00CF5782">
            <w:pPr>
              <w:autoSpaceDE w:val="0"/>
              <w:autoSpaceDN w:val="0"/>
              <w:adjustRightInd w:val="0"/>
              <w:ind w:firstLine="709"/>
              <w:jc w:val="both"/>
              <w:rPr>
                <w:rFonts w:ascii="Times New Roman" w:eastAsia="Calibri" w:hAnsi="Times New Roman" w:cs="Times New Roman"/>
                <w:sz w:val="24"/>
                <w:szCs w:val="24"/>
                <w:lang w:eastAsia="ru-RU"/>
              </w:rPr>
            </w:pPr>
          </w:p>
          <w:p w:rsidR="003F255B" w:rsidRDefault="003F255B" w:rsidP="00CF5782">
            <w:pPr>
              <w:autoSpaceDE w:val="0"/>
              <w:autoSpaceDN w:val="0"/>
              <w:adjustRightInd w:val="0"/>
              <w:ind w:firstLine="709"/>
              <w:jc w:val="both"/>
              <w:rPr>
                <w:rFonts w:ascii="Times New Roman" w:eastAsia="Calibri" w:hAnsi="Times New Roman" w:cs="Times New Roman"/>
                <w:sz w:val="24"/>
                <w:szCs w:val="24"/>
                <w:lang w:eastAsia="ru-RU"/>
              </w:rPr>
            </w:pPr>
          </w:p>
          <w:p w:rsidR="003F255B" w:rsidRPr="00D423B2" w:rsidRDefault="003F255B" w:rsidP="003F255B">
            <w:pPr>
              <w:autoSpaceDE w:val="0"/>
              <w:autoSpaceDN w:val="0"/>
              <w:adjustRightInd w:val="0"/>
              <w:jc w:val="both"/>
              <w:rPr>
                <w:rFonts w:ascii="Times New Roman" w:eastAsia="Calibri" w:hAnsi="Times New Roman" w:cs="Times New Roman"/>
                <w:sz w:val="24"/>
                <w:szCs w:val="24"/>
                <w:lang w:eastAsia="ru-RU"/>
              </w:rPr>
            </w:pPr>
          </w:p>
          <w:p w:rsidR="00467CE6" w:rsidRPr="00D423B2" w:rsidRDefault="00467CE6" w:rsidP="00CF5782">
            <w:pPr>
              <w:autoSpaceDE w:val="0"/>
              <w:autoSpaceDN w:val="0"/>
              <w:adjustRightInd w:val="0"/>
              <w:ind w:firstLine="709"/>
              <w:jc w:val="both"/>
              <w:rPr>
                <w:rFonts w:ascii="Times New Roman" w:eastAsia="Calibri" w:hAnsi="Times New Roman" w:cs="Times New Roman"/>
                <w:sz w:val="24"/>
                <w:szCs w:val="24"/>
                <w:lang w:eastAsia="ru-RU"/>
              </w:rPr>
            </w:pPr>
            <w:r w:rsidRPr="00D423B2">
              <w:rPr>
                <w:rFonts w:ascii="Times New Roman" w:eastAsia="Calibri" w:hAnsi="Times New Roman" w:cs="Times New Roman"/>
                <w:noProof/>
                <w:sz w:val="24"/>
                <w:szCs w:val="24"/>
                <w:lang w:eastAsia="ru-RU"/>
              </w:rPr>
              <w:drawing>
                <wp:inline distT="0" distB="0" distL="0" distR="0" wp14:anchorId="5DADB98F" wp14:editId="6CB48182">
                  <wp:extent cx="2578998" cy="113157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22419" cy="1150622"/>
                          </a:xfrm>
                          <a:prstGeom prst="rect">
                            <a:avLst/>
                          </a:prstGeom>
                          <a:noFill/>
                        </pic:spPr>
                      </pic:pic>
                    </a:graphicData>
                  </a:graphic>
                </wp:inline>
              </w:drawing>
            </w:r>
          </w:p>
          <w:p w:rsidR="00C701E1" w:rsidRPr="00D423B2" w:rsidRDefault="00C701E1"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87667B" w:rsidRPr="0087667B" w:rsidRDefault="0087667B" w:rsidP="0087667B">
            <w:pPr>
              <w:ind w:firstLine="709"/>
              <w:jc w:val="center"/>
              <w:rPr>
                <w:rFonts w:ascii="Times New Roman" w:eastAsia="Times New Roman" w:hAnsi="Times New Roman" w:cs="Times New Roman"/>
                <w:i/>
                <w:sz w:val="16"/>
                <w:szCs w:val="16"/>
                <w:lang w:eastAsia="ru-RU"/>
              </w:rPr>
            </w:pPr>
            <w:r w:rsidRPr="0087667B">
              <w:rPr>
                <w:rFonts w:ascii="Times New Roman" w:eastAsia="Times New Roman" w:hAnsi="Times New Roman" w:cs="Times New Roman"/>
                <w:sz w:val="16"/>
                <w:szCs w:val="16"/>
                <w:lang w:eastAsia="ru-RU"/>
              </w:rPr>
              <w:t>Рис. 16. Динамика и прогноз потребления природного газа в промышленности</w:t>
            </w:r>
          </w:p>
          <w:p w:rsidR="0087667B" w:rsidRPr="0087667B" w:rsidRDefault="0087667B" w:rsidP="0087667B">
            <w:pPr>
              <w:ind w:firstLine="709"/>
              <w:jc w:val="center"/>
              <w:rPr>
                <w:rFonts w:ascii="Times New Roman" w:eastAsia="Times New Roman" w:hAnsi="Times New Roman" w:cs="Times New Roman"/>
                <w:sz w:val="16"/>
                <w:szCs w:val="16"/>
                <w:lang w:eastAsia="ru-RU"/>
              </w:rPr>
            </w:pPr>
          </w:p>
          <w:p w:rsidR="00A72D1F" w:rsidRPr="00D423B2" w:rsidRDefault="00A72D1F" w:rsidP="00A72D1F">
            <w:pPr>
              <w:rPr>
                <w:rFonts w:ascii="Times New Roman" w:eastAsia="Times New Roman" w:hAnsi="Times New Roman" w:cs="Times New Roman"/>
                <w:sz w:val="24"/>
                <w:szCs w:val="24"/>
                <w:lang w:eastAsia="ru-RU"/>
              </w:rPr>
            </w:pPr>
          </w:p>
          <w:p w:rsidR="00DF489B" w:rsidRPr="00D423B2" w:rsidRDefault="00DF489B" w:rsidP="00DF489B">
            <w:pPr>
              <w:ind w:firstLine="708"/>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3.7.2. Газификация Республики Татарстан</w:t>
            </w:r>
          </w:p>
          <w:p w:rsidR="00DF489B" w:rsidRPr="00D423B2" w:rsidRDefault="00DF489B" w:rsidP="00DF489B">
            <w:pPr>
              <w:ind w:firstLine="709"/>
              <w:jc w:val="both"/>
              <w:rPr>
                <w:rFonts w:ascii="Times New Roman" w:eastAsia="Times New Roman" w:hAnsi="Times New Roman" w:cs="Times New Roman"/>
                <w:sz w:val="24"/>
                <w:szCs w:val="24"/>
                <w:lang w:eastAsia="ru-RU"/>
              </w:rPr>
            </w:pPr>
          </w:p>
          <w:p w:rsidR="00FE2C93" w:rsidRPr="00FE2C93" w:rsidRDefault="00FE2C93" w:rsidP="00FE2C93">
            <w:pPr>
              <w:ind w:firstLine="709"/>
              <w:jc w:val="both"/>
              <w:rPr>
                <w:rFonts w:ascii="Times New Roman" w:eastAsia="Times New Roman" w:hAnsi="Times New Roman" w:cs="Times New Roman"/>
                <w:sz w:val="24"/>
                <w:szCs w:val="24"/>
                <w:lang w:eastAsia="ru-RU"/>
              </w:rPr>
            </w:pPr>
            <w:r w:rsidRPr="00FE2C93">
              <w:rPr>
                <w:rFonts w:ascii="Times New Roman" w:eastAsia="Times New Roman" w:hAnsi="Times New Roman" w:cs="Times New Roman"/>
                <w:sz w:val="24"/>
                <w:szCs w:val="24"/>
                <w:lang w:eastAsia="ru-RU"/>
              </w:rPr>
              <w:t xml:space="preserve">По показателям газификации Республика Татарстан занимает лидирующее положение среди регионов России. Уровень газификации Республики Татарстан </w:t>
            </w:r>
            <w:r w:rsidRPr="00FE2C93">
              <w:rPr>
                <w:rFonts w:ascii="Times New Roman" w:eastAsia="Times New Roman" w:hAnsi="Times New Roman" w:cs="Times New Roman"/>
                <w:sz w:val="24"/>
                <w:szCs w:val="24"/>
                <w:lang w:eastAsia="ru-RU"/>
              </w:rPr>
              <w:br/>
              <w:t>на 2018 год достиг 99,51 процента, при этом характерной особенностью Татарстана является то, что высокие показатели газификации обеспечены в равной степени для городов и сельских населенных пунктов. Общее количество газифицированных квартир и индивидуальных жилых домов достигло 1,488 миллиона. В среднем в республике ежегодно газифицируется 19 тыс. квартир (рисунок 17).</w:t>
            </w:r>
          </w:p>
          <w:p w:rsidR="00467CE6" w:rsidRPr="00D423B2" w:rsidRDefault="00467CE6" w:rsidP="00277137">
            <w:pPr>
              <w:autoSpaceDE w:val="0"/>
              <w:autoSpaceDN w:val="0"/>
              <w:adjustRightInd w:val="0"/>
              <w:jc w:val="center"/>
              <w:outlineLvl w:val="2"/>
              <w:rPr>
                <w:rFonts w:ascii="Times New Roman" w:eastAsia="Times New Roman" w:hAnsi="Times New Roman" w:cs="Times New Roman"/>
                <w:sz w:val="24"/>
                <w:szCs w:val="24"/>
                <w:lang w:eastAsia="ru-RU"/>
              </w:rPr>
            </w:pPr>
          </w:p>
          <w:p w:rsidR="00E65F08" w:rsidRDefault="00E65F08" w:rsidP="00277137">
            <w:pPr>
              <w:autoSpaceDE w:val="0"/>
              <w:autoSpaceDN w:val="0"/>
              <w:adjustRightInd w:val="0"/>
              <w:outlineLvl w:val="2"/>
              <w:rPr>
                <w:rFonts w:ascii="Times New Roman" w:eastAsia="Times New Roman" w:hAnsi="Times New Roman" w:cs="Times New Roman"/>
                <w:sz w:val="24"/>
                <w:szCs w:val="24"/>
                <w:lang w:eastAsia="ru-RU"/>
              </w:rPr>
            </w:pPr>
          </w:p>
          <w:p w:rsidR="00277137" w:rsidRDefault="00277137" w:rsidP="00277137">
            <w:pPr>
              <w:autoSpaceDE w:val="0"/>
              <w:autoSpaceDN w:val="0"/>
              <w:adjustRightInd w:val="0"/>
              <w:outlineLvl w:val="2"/>
              <w:rPr>
                <w:rFonts w:ascii="Times New Roman" w:eastAsia="Times New Roman" w:hAnsi="Times New Roman" w:cs="Times New Roman"/>
                <w:sz w:val="24"/>
                <w:szCs w:val="24"/>
                <w:lang w:eastAsia="ru-RU"/>
              </w:rPr>
            </w:pPr>
          </w:p>
          <w:p w:rsidR="00277137" w:rsidRDefault="00277137" w:rsidP="00277137">
            <w:pPr>
              <w:autoSpaceDE w:val="0"/>
              <w:autoSpaceDN w:val="0"/>
              <w:adjustRightInd w:val="0"/>
              <w:outlineLvl w:val="2"/>
              <w:rPr>
                <w:rFonts w:ascii="Times New Roman" w:eastAsia="Times New Roman" w:hAnsi="Times New Roman" w:cs="Times New Roman"/>
                <w:sz w:val="24"/>
                <w:szCs w:val="24"/>
                <w:lang w:eastAsia="ru-RU"/>
              </w:rPr>
            </w:pPr>
          </w:p>
          <w:p w:rsidR="00277137" w:rsidRDefault="00277137" w:rsidP="00277137">
            <w:pPr>
              <w:autoSpaceDE w:val="0"/>
              <w:autoSpaceDN w:val="0"/>
              <w:adjustRightInd w:val="0"/>
              <w:outlineLvl w:val="2"/>
              <w:rPr>
                <w:rFonts w:ascii="Times New Roman" w:eastAsia="Times New Roman" w:hAnsi="Times New Roman" w:cs="Times New Roman"/>
                <w:sz w:val="24"/>
                <w:szCs w:val="24"/>
                <w:lang w:eastAsia="ru-RU"/>
              </w:rPr>
            </w:pPr>
          </w:p>
          <w:p w:rsidR="00277137" w:rsidRDefault="00277137" w:rsidP="00277137">
            <w:pPr>
              <w:autoSpaceDE w:val="0"/>
              <w:autoSpaceDN w:val="0"/>
              <w:adjustRightInd w:val="0"/>
              <w:outlineLvl w:val="2"/>
              <w:rPr>
                <w:rFonts w:ascii="Times New Roman" w:eastAsia="Times New Roman" w:hAnsi="Times New Roman" w:cs="Times New Roman"/>
                <w:sz w:val="24"/>
                <w:szCs w:val="24"/>
                <w:lang w:eastAsia="ru-RU"/>
              </w:rPr>
            </w:pPr>
          </w:p>
          <w:p w:rsidR="00277137" w:rsidRDefault="00277137" w:rsidP="00277137">
            <w:pPr>
              <w:autoSpaceDE w:val="0"/>
              <w:autoSpaceDN w:val="0"/>
              <w:adjustRightInd w:val="0"/>
              <w:outlineLvl w:val="2"/>
              <w:rPr>
                <w:rFonts w:ascii="Times New Roman" w:eastAsia="Times New Roman" w:hAnsi="Times New Roman" w:cs="Times New Roman"/>
                <w:sz w:val="24"/>
                <w:szCs w:val="24"/>
                <w:lang w:eastAsia="ru-RU"/>
              </w:rPr>
            </w:pPr>
          </w:p>
          <w:p w:rsidR="00277137" w:rsidRDefault="00277137" w:rsidP="00277137">
            <w:pPr>
              <w:autoSpaceDE w:val="0"/>
              <w:autoSpaceDN w:val="0"/>
              <w:adjustRightInd w:val="0"/>
              <w:outlineLvl w:val="2"/>
              <w:rPr>
                <w:rFonts w:ascii="Times New Roman" w:eastAsia="Times New Roman" w:hAnsi="Times New Roman" w:cs="Times New Roman"/>
                <w:sz w:val="24"/>
                <w:szCs w:val="24"/>
                <w:lang w:eastAsia="ru-RU"/>
              </w:rPr>
            </w:pPr>
          </w:p>
          <w:p w:rsidR="00277137" w:rsidRDefault="00277137" w:rsidP="00277137">
            <w:pPr>
              <w:autoSpaceDE w:val="0"/>
              <w:autoSpaceDN w:val="0"/>
              <w:adjustRightInd w:val="0"/>
              <w:outlineLvl w:val="2"/>
              <w:rPr>
                <w:rFonts w:ascii="Times New Roman" w:eastAsia="Times New Roman" w:hAnsi="Times New Roman" w:cs="Times New Roman"/>
                <w:sz w:val="24"/>
                <w:szCs w:val="24"/>
                <w:lang w:eastAsia="ru-RU"/>
              </w:rPr>
            </w:pPr>
          </w:p>
          <w:p w:rsidR="00277137" w:rsidRPr="00D423B2" w:rsidRDefault="00277137" w:rsidP="00277137">
            <w:pPr>
              <w:autoSpaceDE w:val="0"/>
              <w:autoSpaceDN w:val="0"/>
              <w:adjustRightInd w:val="0"/>
              <w:outlineLvl w:val="2"/>
              <w:rPr>
                <w:rFonts w:ascii="Times New Roman" w:eastAsia="Times New Roman" w:hAnsi="Times New Roman" w:cs="Times New Roman"/>
                <w:sz w:val="24"/>
                <w:szCs w:val="24"/>
                <w:lang w:eastAsia="ru-RU"/>
              </w:rPr>
            </w:pPr>
          </w:p>
          <w:p w:rsidR="00E65F08" w:rsidRPr="00D423B2" w:rsidRDefault="00277137" w:rsidP="00277137">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34680CF8" wp14:editId="16C666C1">
                  <wp:extent cx="2647950" cy="143827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91497" cy="1461928"/>
                          </a:xfrm>
                          <a:prstGeom prst="rect">
                            <a:avLst/>
                          </a:prstGeom>
                          <a:noFill/>
                        </pic:spPr>
                      </pic:pic>
                    </a:graphicData>
                  </a:graphic>
                </wp:inline>
              </w:drawing>
            </w:r>
          </w:p>
          <w:p w:rsidR="00CD3C5A" w:rsidRPr="00D423B2" w:rsidRDefault="00CD3C5A" w:rsidP="00277137">
            <w:pPr>
              <w:autoSpaceDE w:val="0"/>
              <w:autoSpaceDN w:val="0"/>
              <w:adjustRightInd w:val="0"/>
              <w:outlineLvl w:val="2"/>
              <w:rPr>
                <w:rFonts w:ascii="Times New Roman" w:eastAsia="Times New Roman" w:hAnsi="Times New Roman" w:cs="Times New Roman"/>
                <w:sz w:val="24"/>
                <w:szCs w:val="24"/>
                <w:lang w:eastAsia="ru-RU"/>
              </w:rPr>
            </w:pPr>
          </w:p>
          <w:p w:rsidR="00A50534" w:rsidRPr="00A50534" w:rsidRDefault="00A50534" w:rsidP="00A50534">
            <w:pPr>
              <w:ind w:firstLine="709"/>
              <w:jc w:val="center"/>
              <w:rPr>
                <w:rFonts w:ascii="Times New Roman" w:eastAsia="Times New Roman" w:hAnsi="Times New Roman" w:cs="Times New Roman"/>
                <w:sz w:val="16"/>
                <w:szCs w:val="16"/>
                <w:lang w:eastAsia="ru-RU"/>
              </w:rPr>
            </w:pPr>
            <w:r w:rsidRPr="00A50534">
              <w:rPr>
                <w:rFonts w:ascii="Times New Roman" w:eastAsia="Times New Roman" w:hAnsi="Times New Roman" w:cs="Times New Roman"/>
                <w:sz w:val="16"/>
                <w:szCs w:val="16"/>
                <w:lang w:eastAsia="ru-RU"/>
              </w:rPr>
              <w:t>Рис. 17. Уровень газификации Республики Татарстан</w:t>
            </w:r>
          </w:p>
          <w:p w:rsidR="00CD3C5A" w:rsidRPr="00D423B2" w:rsidRDefault="00CD3C5A"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Для решения перспективных проблем, связанных с обеспечением социальной сферы, в республике проводится постоянная работа по газификации объектов социально-бытового назначения и жилищного фонда.</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Начиная с 2006 года основным источником финансирования мероприятий по газификации Республики Татарстан является специальная надбавка к тарифу на услуги по транспортировке газа по газораспределительным сетям.</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Суммарный объем расходов мероприятий по газификации, финансируемых за счет специальных надбавок к тарифу на услуги по транспортировке газа по газораспределительным сетям, за период с 2006 по 2018 год составил 3 208 млн рублей.</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В целях упорядочивания и оптимизации работы по дальнейшей газификации республики на республиканском уровне разрабатываются и утверждаются нормативные правовые акты в сфере газоснабжения.</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 xml:space="preserve">Работы по развитию газификации будут продолжены с учетом строительства жилья и объектов социальной инфраструктуры, а также роста потребностей промышленных предприятий. </w:t>
            </w:r>
          </w:p>
          <w:p w:rsidR="00086872" w:rsidRPr="00086872" w:rsidRDefault="00086872" w:rsidP="00373451">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 xml:space="preserve">Единая система газоснабжения Республики </w:t>
            </w:r>
            <w:r w:rsidR="00373451">
              <w:rPr>
                <w:rFonts w:ascii="Times New Roman" w:eastAsia="Times New Roman" w:hAnsi="Times New Roman" w:cs="Times New Roman"/>
                <w:sz w:val="24"/>
                <w:szCs w:val="24"/>
                <w:lang w:eastAsia="ru-RU"/>
              </w:rPr>
              <w:t xml:space="preserve">Татарстан включает в </w:t>
            </w:r>
            <w:r w:rsidRPr="00086872">
              <w:rPr>
                <w:rFonts w:ascii="Times New Roman" w:eastAsia="Times New Roman" w:hAnsi="Times New Roman" w:cs="Times New Roman"/>
                <w:sz w:val="24"/>
                <w:szCs w:val="24"/>
                <w:lang w:eastAsia="ru-RU"/>
              </w:rPr>
              <w:t>себя 5,762 тыс. км магистральных газопроводов и газопроводов-отводов, а также 41,9 тыс. км распределительных газопроводов.</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Важнейшим направлением деятельности является содействие развитию газотранспортных мощностей для обеспечения природным газом масштабных инвестиционных проектов, реализуемых в республике.</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В 2018 году утверждена Генеральная схема газоснабжения и газификации Республики Татарстан.</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В рамках инвестиционных программ ПАО «Газпром» на территории республики запланированы инвестиционные проекты:</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«Газопровод-отвод до н.п. Елизаветино» – завершен 1 этап реализации инвестиционного проекта для обеспечения газоснабжения города Иннополис в объеме 20 тыс. кубометров в час. В настоящее время реализуется 2 этап данного проекта, завершение которого позволит выйти на проектные мощности и достичь объемов потребления города Иннополис до 100 тыс. кубометров в час;</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«Реконструкция газопровода Можга – Елабуга» - позволит обеспечить дополнительным объемом природного газа потребителей Камского инновационного территориально-производственного кластера Республики Татарстан с учетом планов ОАО «ТАНЕКО», ОАО «Нижнекамскнефтехим», ОАО «ТАИФ-НК», а также предприятий особой экономической зоны «Алабуга»;</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«Реконструкция газопровода Миннибаево – Казань на участке 220-285 км» - позволит модернизировать газотранспортную систему Казанской зоны.</w:t>
            </w:r>
          </w:p>
          <w:p w:rsidR="009770F0" w:rsidRPr="00D423B2" w:rsidRDefault="00086872" w:rsidP="00086872">
            <w:pPr>
              <w:widowControl w:val="0"/>
              <w:autoSpaceDE w:val="0"/>
              <w:autoSpaceDN w:val="0"/>
              <w:ind w:firstLine="540"/>
              <w:jc w:val="both"/>
              <w:outlineLvl w:val="3"/>
              <w:rPr>
                <w:rFonts w:ascii="Times New Roman" w:eastAsia="Calibri" w:hAnsi="Times New Roman" w:cs="Times New Roman"/>
                <w:sz w:val="28"/>
                <w:szCs w:val="28"/>
              </w:rPr>
            </w:pPr>
            <w:r w:rsidRPr="00086872">
              <w:rPr>
                <w:rFonts w:ascii="Times New Roman" w:eastAsia="Times New Roman" w:hAnsi="Times New Roman" w:cs="Times New Roman"/>
                <w:sz w:val="24"/>
                <w:szCs w:val="24"/>
                <w:lang w:eastAsia="ru-RU"/>
              </w:rPr>
              <w:t>Строительство вышеперечисленных объектов в целом позволит повысить надежность и пропускную способность газотранспортной системы республики и обеспечить доступ к ней новых потребителей.</w:t>
            </w:r>
          </w:p>
          <w:p w:rsidR="00086872" w:rsidRDefault="00086872" w:rsidP="009770F0">
            <w:pPr>
              <w:widowControl w:val="0"/>
              <w:autoSpaceDE w:val="0"/>
              <w:autoSpaceDN w:val="0"/>
              <w:ind w:firstLine="540"/>
              <w:jc w:val="both"/>
              <w:outlineLvl w:val="3"/>
              <w:rPr>
                <w:rFonts w:ascii="Times New Roman" w:eastAsia="Calibri" w:hAnsi="Times New Roman" w:cs="Times New Roman"/>
                <w:sz w:val="24"/>
                <w:szCs w:val="24"/>
              </w:rPr>
            </w:pPr>
          </w:p>
          <w:p w:rsidR="009770F0" w:rsidRPr="00D423B2" w:rsidRDefault="009770F0" w:rsidP="009770F0">
            <w:pPr>
              <w:widowControl w:val="0"/>
              <w:autoSpaceDE w:val="0"/>
              <w:autoSpaceDN w:val="0"/>
              <w:ind w:firstLine="540"/>
              <w:jc w:val="both"/>
              <w:outlineLvl w:val="3"/>
              <w:rPr>
                <w:rFonts w:ascii="Times New Roman" w:eastAsia="Calibri" w:hAnsi="Times New Roman" w:cs="Times New Roman"/>
                <w:sz w:val="24"/>
                <w:szCs w:val="24"/>
              </w:rPr>
            </w:pPr>
            <w:r w:rsidRPr="00D423B2">
              <w:rPr>
                <w:rFonts w:ascii="Times New Roman" w:eastAsia="Calibri" w:hAnsi="Times New Roman" w:cs="Times New Roman"/>
                <w:sz w:val="24"/>
                <w:szCs w:val="24"/>
              </w:rPr>
              <w:t>3.7.3. Использование газомоторного топлива в Республике Татарстан</w:t>
            </w:r>
          </w:p>
          <w:p w:rsidR="009770F0" w:rsidRPr="00D423B2" w:rsidRDefault="009770F0" w:rsidP="009770F0">
            <w:pPr>
              <w:ind w:firstLine="540"/>
              <w:jc w:val="both"/>
              <w:rPr>
                <w:rFonts w:ascii="Times New Roman" w:eastAsia="Times New Roman" w:hAnsi="Times New Roman" w:cs="Times New Roman"/>
                <w:sz w:val="24"/>
                <w:szCs w:val="24"/>
                <w:lang w:eastAsia="ru-RU"/>
              </w:rPr>
            </w:pPr>
          </w:p>
          <w:p w:rsidR="00460A97" w:rsidRPr="00460A97" w:rsidRDefault="00460A97" w:rsidP="00460A97">
            <w:pPr>
              <w:ind w:firstLine="540"/>
              <w:jc w:val="both"/>
              <w:rPr>
                <w:rFonts w:ascii="Times New Roman" w:eastAsia="Times New Roman" w:hAnsi="Times New Roman" w:cs="Times New Roman"/>
                <w:sz w:val="24"/>
                <w:szCs w:val="24"/>
                <w:lang w:eastAsia="ru-RU"/>
              </w:rPr>
            </w:pPr>
            <w:r w:rsidRPr="00460A97">
              <w:rPr>
                <w:rFonts w:ascii="Times New Roman" w:eastAsia="Times New Roman" w:hAnsi="Times New Roman" w:cs="Times New Roman"/>
                <w:sz w:val="24"/>
                <w:szCs w:val="24"/>
                <w:lang w:eastAsia="ru-RU"/>
              </w:rPr>
              <w:t>В Республике Татарстан успешно реализуется государственная программа «Развитие рынка газомоторного топлива в Республике Татарстан на 2013 – 2023 годы». В рамках данной программы осуществляется закупка газомоторной техники и перевод существующей техники на газомоторное топливо.</w:t>
            </w:r>
          </w:p>
          <w:p w:rsidR="00460A97" w:rsidRPr="00460A97" w:rsidRDefault="00460A97" w:rsidP="00460A97">
            <w:pPr>
              <w:ind w:firstLine="540"/>
              <w:jc w:val="both"/>
              <w:rPr>
                <w:rFonts w:ascii="Times New Roman" w:eastAsia="Times New Roman" w:hAnsi="Times New Roman" w:cs="Times New Roman"/>
                <w:sz w:val="24"/>
                <w:szCs w:val="24"/>
                <w:lang w:eastAsia="ru-RU"/>
              </w:rPr>
            </w:pPr>
            <w:r w:rsidRPr="00460A97">
              <w:rPr>
                <w:rFonts w:ascii="Times New Roman" w:eastAsia="Times New Roman" w:hAnsi="Times New Roman" w:cs="Times New Roman"/>
                <w:sz w:val="24"/>
                <w:szCs w:val="24"/>
                <w:lang w:eastAsia="ru-RU"/>
              </w:rPr>
              <w:t>Основным потребителем газомоторного топлива в Республике Татарстан является автотранспортный комплекс.</w:t>
            </w:r>
          </w:p>
          <w:p w:rsidR="00460A97" w:rsidRPr="00460A97" w:rsidRDefault="00460A97" w:rsidP="00460A97">
            <w:pPr>
              <w:ind w:firstLine="540"/>
              <w:jc w:val="both"/>
              <w:rPr>
                <w:rFonts w:ascii="Times New Roman" w:eastAsia="Times New Roman" w:hAnsi="Times New Roman" w:cs="Times New Roman"/>
                <w:sz w:val="24"/>
                <w:szCs w:val="24"/>
                <w:lang w:eastAsia="ru-RU"/>
              </w:rPr>
            </w:pPr>
            <w:r w:rsidRPr="00460A97">
              <w:rPr>
                <w:rFonts w:ascii="Times New Roman" w:eastAsia="Times New Roman" w:hAnsi="Times New Roman" w:cs="Times New Roman"/>
                <w:sz w:val="24"/>
                <w:szCs w:val="24"/>
                <w:lang w:eastAsia="ru-RU"/>
              </w:rPr>
              <w:t>Использование газомоторного топлива автомобильным транспортом вместо традиционных нефтяных видов топлива имеет особое значение для улучшения экологической обстановки в Республике Татарстан.</w:t>
            </w:r>
          </w:p>
          <w:p w:rsidR="00460A97" w:rsidRPr="00460A97" w:rsidRDefault="00460A97" w:rsidP="00460A97">
            <w:pPr>
              <w:ind w:firstLine="540"/>
              <w:jc w:val="both"/>
              <w:rPr>
                <w:rFonts w:ascii="Times New Roman" w:eastAsia="Times New Roman" w:hAnsi="Times New Roman" w:cs="Times New Roman"/>
                <w:sz w:val="24"/>
                <w:szCs w:val="24"/>
                <w:lang w:eastAsia="ru-RU"/>
              </w:rPr>
            </w:pPr>
            <w:r w:rsidRPr="00460A97">
              <w:rPr>
                <w:rFonts w:ascii="Times New Roman" w:eastAsia="Times New Roman" w:hAnsi="Times New Roman" w:cs="Times New Roman"/>
                <w:sz w:val="24"/>
                <w:szCs w:val="24"/>
                <w:lang w:eastAsia="ru-RU"/>
              </w:rPr>
              <w:t>Необходимым условием для расширения использования газомоторного топлива в транспортном комплексе является синхронизация создания сети автогазозаправочных станций на территории республики с приобретением новой заводской техники в газомоторном исполнении и переоборудованием действующих парков на использование природного газа в качестве моторного топлива.</w:t>
            </w:r>
          </w:p>
          <w:p w:rsidR="00460A97" w:rsidRPr="00460A97" w:rsidRDefault="00460A97" w:rsidP="00460A97">
            <w:pPr>
              <w:ind w:firstLine="540"/>
              <w:jc w:val="both"/>
              <w:rPr>
                <w:rFonts w:ascii="Times New Roman" w:eastAsia="Times New Roman" w:hAnsi="Times New Roman" w:cs="Times New Roman"/>
                <w:sz w:val="24"/>
                <w:szCs w:val="24"/>
                <w:lang w:eastAsia="ru-RU"/>
              </w:rPr>
            </w:pPr>
            <w:r w:rsidRPr="00460A97">
              <w:rPr>
                <w:rFonts w:ascii="Times New Roman" w:eastAsia="Times New Roman" w:hAnsi="Times New Roman" w:cs="Times New Roman"/>
                <w:sz w:val="24"/>
                <w:szCs w:val="24"/>
                <w:lang w:eastAsia="ru-RU"/>
              </w:rPr>
              <w:t>В настоящее время на территории Республики Татарстан расположены</w:t>
            </w:r>
            <w:r w:rsidRPr="00460A97">
              <w:rPr>
                <w:rFonts w:ascii="Times New Roman" w:eastAsia="Times New Roman" w:hAnsi="Times New Roman" w:cs="Times New Roman"/>
                <w:sz w:val="24"/>
                <w:szCs w:val="24"/>
                <w:lang w:eastAsia="ru-RU"/>
              </w:rPr>
              <w:br/>
              <w:t>20 действующих автомобильных газонаполнительных компрессорных станций (далее – АГНКС) и один передвижной автогазозаправщик (далее – ПАГЗ) на территории Менделеевского района Республики Татарстан. Суммарная производственная мощность данных АГНКС составляет более 150 млн куб. метров компримированного природного газа (далее – КПГ) в год. Средняя загрузка АГНКС на территории Республики Татарстан по итогам 2018 года составила 24 процента, объем реализации КПГ составил около 36 млн куб. метров. С 2012 года ежегодное потребление компримированного природного газа выросло с 4,5 до 36,0 млн куб. метров.</w:t>
            </w:r>
          </w:p>
          <w:p w:rsidR="00C62F28" w:rsidRPr="00D423B2" w:rsidRDefault="00C62F28" w:rsidP="009770F0">
            <w:pPr>
              <w:ind w:firstLine="540"/>
              <w:jc w:val="both"/>
              <w:rPr>
                <w:rFonts w:ascii="Times New Roman" w:eastAsia="Times New Roman" w:hAnsi="Times New Roman" w:cs="Times New Roman"/>
                <w:sz w:val="24"/>
                <w:szCs w:val="24"/>
                <w:lang w:eastAsia="ru-RU"/>
              </w:rPr>
            </w:pPr>
          </w:p>
          <w:p w:rsidR="00C62F28" w:rsidRPr="00D423B2" w:rsidRDefault="00C62F28" w:rsidP="009770F0">
            <w:pPr>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197A1831" wp14:editId="7BFEDFBF">
                  <wp:extent cx="2576700" cy="140017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2056" cy="1408519"/>
                          </a:xfrm>
                          <a:prstGeom prst="rect">
                            <a:avLst/>
                          </a:prstGeom>
                          <a:noFill/>
                        </pic:spPr>
                      </pic:pic>
                    </a:graphicData>
                  </a:graphic>
                </wp:inline>
              </w:drawing>
            </w:r>
          </w:p>
          <w:p w:rsidR="009770F0" w:rsidRPr="00D423B2" w:rsidRDefault="009770F0" w:rsidP="00C068EB">
            <w:pPr>
              <w:ind w:firstLine="709"/>
              <w:jc w:val="both"/>
              <w:rPr>
                <w:rFonts w:ascii="Times New Roman" w:eastAsia="Times New Roman" w:hAnsi="Times New Roman" w:cs="Times New Roman"/>
                <w:sz w:val="24"/>
                <w:szCs w:val="24"/>
                <w:lang w:eastAsia="ru-RU"/>
              </w:rPr>
            </w:pPr>
          </w:p>
          <w:p w:rsidR="00162824" w:rsidRPr="00162824" w:rsidRDefault="00162824" w:rsidP="00162824">
            <w:pPr>
              <w:jc w:val="center"/>
              <w:rPr>
                <w:rFonts w:ascii="Times New Roman" w:eastAsia="Times New Roman" w:hAnsi="Times New Roman" w:cs="Times New Roman"/>
                <w:i/>
                <w:sz w:val="16"/>
                <w:szCs w:val="16"/>
                <w:lang w:eastAsia="ru-RU"/>
              </w:rPr>
            </w:pPr>
            <w:r w:rsidRPr="00162824">
              <w:rPr>
                <w:rFonts w:ascii="Times New Roman" w:eastAsia="Times New Roman" w:hAnsi="Times New Roman" w:cs="Times New Roman"/>
                <w:sz w:val="16"/>
                <w:szCs w:val="16"/>
                <w:lang w:eastAsia="ru-RU"/>
              </w:rPr>
              <w:t>Рис. 18. Диаграмма потребления компримированного природного газа в Республике Татарстан</w:t>
            </w:r>
          </w:p>
          <w:p w:rsidR="00162824" w:rsidRDefault="00F510C1" w:rsidP="00F510C1">
            <w:pPr>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            </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С целью развития рынка газомоторного топлива ООО «Газпром газомоторное топливо» совместно с Правительством Республики Татарстан осуществляет: развитие газозаправочной инфраструктуры, бесперебойную круглосуточную заправку газомоторного автотранспорта и передвижных автомобильных газовых заправщиков на действующих АГНКС собственной эксплуатации, взаимодействие с пунктами по переоборудованию и техническому обслуживанию газомоторного автомобильного транспорта, разработку и внедрение стимулирующих маркетинговых программ для юридических и физических лиц при переводе автомобильного транспорта на использование природного газа в качестве моторного топлива, популяризацию природного газа как вида топлива среди населения и предприятий через средства массовой информации, путем проведения семинаров и презентаций для потенциальных потребителей, организацией маркетинговых акций.</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Полная газификация Республики Татарстан позволяет разместить АГНКС в каждом населенном пункте при условии соответствия земельных участков требованиям для размещения АГНКС, обеспечив тем самым автовладельцев экологически чистым и экономически выгодным моторным топливом – КПГ.</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Опыт эксплуатации и уровень загрузки АГНКС, построенных на территории Республики Татарстан в 2016 году, показали, что наиболее актуальным строительство АГНКС в настоящее время является в городах с большой численностью населения, развитой дорожно-транспортной сетью и наличием крупных якорных потребителей в виде автотранспортных предприятий, осуществляющих пассажирские перевозки, и предприятий дорожно-коммунальных служб.</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18 сентября 2018 года утверждена государственная программа «Строительство автомобильных газонаполнительных компрессорных станций на территории Республики Татарстан на 2019 – 2021 годы», в рамках которой до 2021 года планируется строительство и ввод в эксплуатацию не менее 30 АГНКС и приобретение и ввод в эксплуатацию не менее 21 ПАГЗа.</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В рамках выполнения государственной программы Республики Татарстан «Развитие рынка газомоторного топлива в Республике Татарстан на 2013 – 2023 годы» осуществляется поддержка проектов переоборудования техники для работы на КПГ путем субсидирования части затрат пункта переоборудования при переоборудовании транспортных средств в соответствии с порядком, утвержденным постановлением Кабинета Министров Республики Татарстан от 12 февраля</w:t>
            </w:r>
            <w:r w:rsidRPr="007B191B">
              <w:rPr>
                <w:rFonts w:ascii="Times New Roman" w:eastAsia="Times New Roman" w:hAnsi="Times New Roman" w:cs="Times New Roman"/>
                <w:sz w:val="24"/>
                <w:szCs w:val="24"/>
                <w:lang w:eastAsia="ru-RU"/>
              </w:rPr>
              <w:br/>
              <w:t>2016 года № 90 «</w:t>
            </w:r>
            <w:r w:rsidRPr="007B191B">
              <w:rPr>
                <w:rFonts w:ascii="Times New Roman" w:eastAsia="Calibri" w:hAnsi="Times New Roman" w:cs="Times New Roman"/>
                <w:sz w:val="24"/>
                <w:szCs w:val="24"/>
                <w:lang w:eastAsia="ru-RU"/>
              </w:rPr>
              <w:t>Об утверждении Порядка предоставления субсидий из бюджета Республики Татарстан на возмещение недополученных доходов при переводе транспортных средств на газомоторное топливо (метан)»</w:t>
            </w:r>
            <w:r w:rsidRPr="007B191B">
              <w:rPr>
                <w:rFonts w:ascii="Times New Roman" w:eastAsia="Times New Roman" w:hAnsi="Times New Roman" w:cs="Times New Roman"/>
                <w:sz w:val="24"/>
                <w:szCs w:val="24"/>
                <w:lang w:eastAsia="ru-RU"/>
              </w:rPr>
              <w:t>. Размер субсидии составляет до 30 процентов от номинальной стоимости переоборудования.</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Меры по стимулированию автовладельцев при переоборудовании транспортных средств на КПГ предлагаются и ООО «Газпром газомоторное топливо». По одной из маркетинговых программ за каждое переоборудованное на природный газ транспортное средство компания предоставляет владельцам топливную карту, обеспечивающую скидку 50 процентов на КПГ, исходя из лимита 25 000 – 35 000 бонусов (рублей) для физических лиц и 3 000 – 4 000 кубических метров газа (метана) для юридических лиц и индивидуальных предпринимателей.</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 xml:space="preserve">В республике работу по переоборудованию автомобилей на КПГ проводят </w:t>
            </w:r>
            <w:r w:rsidRPr="007B191B">
              <w:rPr>
                <w:rFonts w:ascii="Times New Roman" w:eastAsia="Times New Roman" w:hAnsi="Times New Roman" w:cs="Times New Roman"/>
                <w:sz w:val="24"/>
                <w:szCs w:val="24"/>
                <w:lang w:eastAsia="ru-RU"/>
              </w:rPr>
              <w:br/>
              <w:t>13 аккредитованных пунктов переоборудования и технического обслуживания (ППТО) автомобилей (г. Казань, г. Набережные Челны, г. Нижнекамск, г. Бугульма, г. Азнакаево, г. Елабуга).</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В Республике Татарстан осуществляют техническую экспертизу установки газобаллонного оборудования (далее – ГБО) на транспортные средства две</w:t>
            </w:r>
            <w:r w:rsidRPr="007B191B">
              <w:rPr>
                <w:rFonts w:ascii="Times New Roman" w:eastAsia="Times New Roman" w:hAnsi="Times New Roman" w:cs="Times New Roman"/>
                <w:color w:val="FF0000"/>
                <w:sz w:val="24"/>
                <w:szCs w:val="24"/>
                <w:lang w:eastAsia="ru-RU"/>
              </w:rPr>
              <w:t xml:space="preserve"> </w:t>
            </w:r>
            <w:r w:rsidRPr="007B191B">
              <w:rPr>
                <w:rFonts w:ascii="Times New Roman" w:eastAsia="Times New Roman" w:hAnsi="Times New Roman" w:cs="Times New Roman"/>
                <w:sz w:val="24"/>
                <w:szCs w:val="24"/>
                <w:lang w:eastAsia="ru-RU"/>
              </w:rPr>
              <w:t xml:space="preserve">лаборатории, аккредитованные в Федеральном агентстве по аккредитации (ООО «Испытательная лаборатория-16» (г. Набережные Челны) и ООО «Испытательная лаборатория «Поволжье» (г. Казань) (Таттехконтроль)). </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Совместно с ГИБДД по Республике Татарстан для прохождения процедур переоборудования и легитимизации (регистрации) транспортных средств проведена следующая работа по оптимизации инструкций и регламентов:</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усовершенствован порядок процедуры проверки транспортных средств, переоборудованных до вступления в силу Технического регламента Таможенного союза;</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согласована возможность подачи документов по доверенности или агентскому договору без присутствия владельца транспортного средства;</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оптимизирован график приема граждан;</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сокращены сроки рассмотрения документов;</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передана функция права подписи заключений о соответствии требованиям безопасности на районный уровень (в территориальный орган ГИБДД).</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 xml:space="preserve">Изложенные и другие меры позволили разработать новый порядок оказания услуги по установке ГБО по принципу «одного окна». Это существенно сокращает как количество обращений автовладельцев (1 – 2 обращения) в уполномоченные организации, так и время прохождения процедуры по установке ГБО и регистрации транспортного средства до 2 – 3 дней. </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 xml:space="preserve">Реализация мероприятий, направленных на развитие рынка газомоторного топлива в Республике Татарстан, позволила достичь к 2019 году результата в </w:t>
            </w:r>
            <w:r w:rsidRPr="007B191B">
              <w:rPr>
                <w:rFonts w:ascii="Times New Roman" w:eastAsia="Times New Roman" w:hAnsi="Times New Roman" w:cs="Times New Roman"/>
                <w:sz w:val="24"/>
                <w:szCs w:val="24"/>
                <w:lang w:eastAsia="ru-RU"/>
              </w:rPr>
              <w:br/>
              <w:t>более 5 000 единиц автотранспортной техники, использующей в качестве моторного топлива природный газ.</w:t>
            </w:r>
          </w:p>
          <w:p w:rsidR="00FD39C7" w:rsidRPr="00D423B2" w:rsidRDefault="007B191B" w:rsidP="004B2554">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 xml:space="preserve">Республика Татарстан планирует и дальше планомерно развивать рынок газомоторного топлива. К 2030 году планируется достижение показателя </w:t>
            </w:r>
            <w:r w:rsidRPr="007B191B">
              <w:rPr>
                <w:rFonts w:ascii="Times New Roman" w:eastAsia="Times New Roman" w:hAnsi="Times New Roman" w:cs="Times New Roman"/>
                <w:sz w:val="24"/>
                <w:szCs w:val="24"/>
                <w:lang w:eastAsia="ru-RU"/>
              </w:rPr>
              <w:br/>
              <w:t>в 22 600 единиц автотранспортной техники, использующей природный газ в качестве моторного топлива.</w:t>
            </w:r>
          </w:p>
          <w:p w:rsidR="00FD39C7" w:rsidRPr="00D423B2" w:rsidRDefault="00FD39C7" w:rsidP="00F510C1">
            <w:pPr>
              <w:ind w:firstLine="709"/>
              <w:jc w:val="both"/>
              <w:rPr>
                <w:rFonts w:ascii="Times New Roman" w:eastAsia="Times New Roman" w:hAnsi="Times New Roman" w:cs="Times New Roman"/>
                <w:sz w:val="24"/>
                <w:szCs w:val="24"/>
                <w:lang w:eastAsia="ru-RU"/>
              </w:rPr>
            </w:pPr>
          </w:p>
          <w:p w:rsidR="00F510C1" w:rsidRPr="00D423B2" w:rsidRDefault="00FD39C7" w:rsidP="00F05131">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7BDA9B51" wp14:editId="0C85793A">
                  <wp:extent cx="2891790" cy="1534571"/>
                  <wp:effectExtent l="0" t="0" r="3810" b="889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17742" cy="1548343"/>
                          </a:xfrm>
                          <a:prstGeom prst="rect">
                            <a:avLst/>
                          </a:prstGeom>
                          <a:noFill/>
                        </pic:spPr>
                      </pic:pic>
                    </a:graphicData>
                  </a:graphic>
                </wp:inline>
              </w:drawing>
            </w:r>
          </w:p>
          <w:p w:rsidR="00FD2F6E" w:rsidRPr="00D423B2" w:rsidRDefault="00FD2F6E"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4B2554" w:rsidRPr="004B2554" w:rsidRDefault="004B2554" w:rsidP="004B2554">
            <w:pPr>
              <w:jc w:val="center"/>
              <w:rPr>
                <w:rFonts w:ascii="Times New Roman" w:eastAsia="Times New Roman" w:hAnsi="Times New Roman" w:cs="Times New Roman"/>
                <w:sz w:val="16"/>
                <w:szCs w:val="16"/>
                <w:lang w:eastAsia="ru-RU"/>
              </w:rPr>
            </w:pPr>
            <w:r w:rsidRPr="004B2554">
              <w:rPr>
                <w:rFonts w:ascii="Times New Roman" w:eastAsia="Times New Roman" w:hAnsi="Times New Roman" w:cs="Times New Roman"/>
                <w:sz w:val="16"/>
                <w:szCs w:val="16"/>
                <w:lang w:eastAsia="ru-RU"/>
              </w:rPr>
              <w:t xml:space="preserve">Рис. 19. Диаграмма по приобретению и переоборудованию техники </w:t>
            </w:r>
            <w:r w:rsidRPr="004B2554">
              <w:rPr>
                <w:rFonts w:ascii="Times New Roman" w:eastAsia="Times New Roman" w:hAnsi="Times New Roman" w:cs="Times New Roman"/>
                <w:sz w:val="16"/>
                <w:szCs w:val="16"/>
                <w:lang w:eastAsia="ru-RU"/>
              </w:rPr>
              <w:br/>
              <w:t>на компримированный природный газ, единиц техники</w:t>
            </w:r>
          </w:p>
          <w:p w:rsidR="00FD2F6E" w:rsidRPr="00D423B2" w:rsidRDefault="00FD2F6E" w:rsidP="00F05131">
            <w:pPr>
              <w:autoSpaceDE w:val="0"/>
              <w:autoSpaceDN w:val="0"/>
              <w:adjustRightInd w:val="0"/>
              <w:jc w:val="center"/>
              <w:outlineLvl w:val="2"/>
              <w:rPr>
                <w:rFonts w:ascii="Times New Roman" w:eastAsia="Times New Roman" w:hAnsi="Times New Roman" w:cs="Times New Roman"/>
                <w:sz w:val="24"/>
                <w:szCs w:val="24"/>
                <w:lang w:eastAsia="ru-RU"/>
              </w:rPr>
            </w:pPr>
          </w:p>
          <w:p w:rsidR="0063099B" w:rsidRPr="0063099B" w:rsidRDefault="0063099B" w:rsidP="0063099B">
            <w:pPr>
              <w:ind w:firstLine="709"/>
              <w:jc w:val="both"/>
              <w:rPr>
                <w:rFonts w:ascii="Times New Roman" w:eastAsia="Times New Roman" w:hAnsi="Times New Roman" w:cs="Times New Roman"/>
                <w:sz w:val="24"/>
                <w:szCs w:val="24"/>
                <w:lang w:eastAsia="ru-RU"/>
              </w:rPr>
            </w:pPr>
            <w:r w:rsidRPr="0063099B">
              <w:rPr>
                <w:rFonts w:ascii="Times New Roman" w:eastAsia="Times New Roman" w:hAnsi="Times New Roman" w:cs="Times New Roman"/>
                <w:sz w:val="24"/>
                <w:szCs w:val="24"/>
                <w:lang w:eastAsia="ru-RU"/>
              </w:rPr>
              <w:t>Широкое применение природного газа в качестве моторного топлива приведет к снижению себестоимости автомобильных перевозок и, следовательно, будет способствовать ускорению экономического развития республики и России в целом.</w:t>
            </w:r>
          </w:p>
          <w:p w:rsidR="00FD2F6E" w:rsidRPr="00D423B2" w:rsidRDefault="00FD2F6E" w:rsidP="00FD2F6E">
            <w:pPr>
              <w:ind w:firstLine="709"/>
              <w:jc w:val="both"/>
              <w:rPr>
                <w:rFonts w:ascii="Times New Roman" w:eastAsia="Times New Roman" w:hAnsi="Times New Roman" w:cs="Times New Roman"/>
                <w:sz w:val="24"/>
                <w:szCs w:val="24"/>
                <w:lang w:eastAsia="ru-RU"/>
              </w:rPr>
            </w:pPr>
          </w:p>
          <w:p w:rsidR="00FD2F6E" w:rsidRPr="00D423B2" w:rsidRDefault="00FD2F6E" w:rsidP="00FD2F6E">
            <w:pPr>
              <w:ind w:firstLine="708"/>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3.7.3.1. Развитие рынка сжиженного природного газа в качестве газомоторного топлива в Республике Татарстан</w:t>
            </w:r>
          </w:p>
          <w:p w:rsidR="00FD2F6E" w:rsidRPr="00D423B2" w:rsidRDefault="00FD2F6E" w:rsidP="00FD2F6E">
            <w:pPr>
              <w:ind w:firstLine="708"/>
              <w:jc w:val="both"/>
              <w:rPr>
                <w:rFonts w:ascii="Times New Roman" w:eastAsia="Times New Roman" w:hAnsi="Times New Roman" w:cs="Times New Roman"/>
                <w:sz w:val="24"/>
                <w:szCs w:val="24"/>
                <w:lang w:eastAsia="ru-RU"/>
              </w:rPr>
            </w:pP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Использование сжиженного природного газа (далее – СПГ) в качестве газомоторного топлива на транспорте – стратегически важное направление развития нефтегазохимического комплекса Российской Федерации и Республики Татарстан.</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Природный газ – самое дешевое моторное топливо из всех имеющихся на рынке. При условно равном расходе на 100 км пути природный газ (метан) при текущих розничных ценах обходится в 1,5 – 2,5 раза дешевле дизельного топлива, имеет наиболее стабильный состав (95 – 98 процентов метана), не имеет цвета, запаха, химически не активен, не токсичен.</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Мировой рынок СПГ в отличие от объемов добычи нефти стремительно развивается. Импорт энергоносителя за 2017 год вырос на 11 процентов по сравнению с 2016 годом. Потребление СПГ за тот же период увеличилось в основном за счет азиатских государств на 29 млн тонн и составило 293 млн тонн. Основные преимущества СПГ:</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значительно уменьшается объем хранимого газа в топливном баке вследствие его большей плотности (0,14 кг/л и 0,42 кг/л), что позволяет увеличить запас хода автомобиля при том же объеме топливного бака;</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 xml:space="preserve">повышается безопасность хранения, связанная с уменьшением давления </w:t>
            </w:r>
            <w:r w:rsidRPr="00B87375">
              <w:rPr>
                <w:rFonts w:ascii="Times New Roman" w:eastAsia="Times New Roman" w:hAnsi="Times New Roman" w:cs="Times New Roman"/>
                <w:bCs/>
                <w:iCs/>
                <w:sz w:val="24"/>
                <w:szCs w:val="24"/>
                <w:lang w:eastAsia="ru-RU"/>
              </w:rPr>
              <w:br/>
              <w:t>с 20 МПа до 0,5 МПа;</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 xml:space="preserve">уменьшается вероятность утечек, связанная с уменьшением давления </w:t>
            </w:r>
            <w:r w:rsidRPr="00B87375">
              <w:rPr>
                <w:rFonts w:ascii="Times New Roman" w:eastAsia="Times New Roman" w:hAnsi="Times New Roman" w:cs="Times New Roman"/>
                <w:bCs/>
                <w:iCs/>
                <w:sz w:val="24"/>
                <w:szCs w:val="24"/>
                <w:lang w:eastAsia="ru-RU"/>
              </w:rPr>
              <w:br/>
              <w:t>с 20 МПа до 0,5 МПа, упрощается процесс редуцирования газа;</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на 35 – 40 процентов уменьшается износ двигателя;</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обеспечивается соответствие двигателей транспортных средств, работающих на СПГ, высочайшим экологическим стандартам Евро-5 и Евро-6;</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при использовании СПГ на 30–50 процентов по сравнению с традиционными видами топлива снижаются топливные расходы, что имеет важное социально-экономическое значение для предприятий и организаций.</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 xml:space="preserve">Ключевыми потребителями СПГ в качестве моторного топлива в ближайшей перспективе в Российской Федерации станут: магистральный, железнодорожный, водный транспорт, сельскохозяйственная и карьерная техника, население удаленных и труднодоступных территорий. </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 xml:space="preserve">Объем потребления СПГ на территории Российской Федерации к 2030 году, по прогнозам Министерства энергетики Российской Федерации, на магистральном транспорте составит 33 процента от общего объема потребления СПГ, на водном транспорте – 27 процентов, при использовании карьерной техники – 23 процента, </w:t>
            </w:r>
            <w:r w:rsidRPr="00B87375">
              <w:rPr>
                <w:rFonts w:ascii="Times New Roman" w:eastAsia="Times New Roman" w:hAnsi="Times New Roman" w:cs="Times New Roman"/>
                <w:bCs/>
                <w:iCs/>
                <w:sz w:val="24"/>
                <w:szCs w:val="24"/>
                <w:lang w:eastAsia="ru-RU"/>
              </w:rPr>
              <w:br/>
              <w:t>на железнодорожном транспорте – 9 процентов, при использовании сельскохозяйственной техники – 8 процентов.</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Для широкого внедрения СПГ необходимо развивать инфраструктуру по нескольким направлениям:</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в краткосрочной перспективе: использование СПГ для заправки автотранспорта и водного транспорта, организация универсальных заправочных станций, позволяющих заправляться КПГ и СПГ. Охват нескольких направлений обеспечит стабильную работу производителей СПГ, реализацию производимого СПГ и быструю окупаемость проекта;</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в долгосрочной перспективе: использование СПГ для заправки железнодорожного транспорта, поставка СПГ промышленности, коммунальному хозяйству.</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 xml:space="preserve">В настоящее время в Республике Татарстан разработан проект государственной программы Республики Татарстан «Развитие рынка сжиженного природного газа в качестве газомоторного топлива в Республике Татарстан </w:t>
            </w:r>
            <w:r w:rsidRPr="00B87375">
              <w:rPr>
                <w:rFonts w:ascii="Times New Roman" w:eastAsia="Times New Roman" w:hAnsi="Times New Roman" w:cs="Times New Roman"/>
                <w:bCs/>
                <w:iCs/>
                <w:sz w:val="24"/>
                <w:szCs w:val="24"/>
                <w:lang w:eastAsia="ru-RU"/>
              </w:rPr>
              <w:br/>
              <w:t xml:space="preserve">на 2019 – 2023 годы». </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В рамках реализации данной государственной программы планируется реализация следующих проектов:</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инвестиционные проекты «Строительство комплекса по сжижению природного газа в Республике Татарстан» на площадке Индустриального парка «Чистополь» и «Строительство сети криогенных автозаправочных станций в Республике Татарстан», планируемые в рамках реализации Соглашения между Правительством Республики Татарстан и ПАО «Газпром»;</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проект «Строительство комплекса по сжижению природного газа производительностью 6 тонн в час (КСПГ-6)» на территории Тюлячинского района Республики Татарстан, планируемый к реализации ООО «Топгаз»;</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СПГ-модуля средней производительностью 300 – 600 кг/час на территории действующей АГНКС-1 в городе Набережные Челны, планируемый к размещению филиалом ООО «Газпром газомоторное топливо» г. Казань в период до 2023 года.</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ООО «РариТЭК» совместно с Минским моторным заводом ведет работы по разработке двигателя для тракторов на СПГ. В течение января-мая 2018 года прототип двигателя проходил испытания в США. В мае 2018 г. один двигатель был смонтирован на шасси трактора «МТЗ 1221.2», который был в пилотном режиме испытан в одном из сельхозпредприятий Менделеевского района. В настоящее время по результатам испытаний модель дорабатывается.</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Объем потребления природного газа населением, промышленными предприятиями, объектами энергетики и жилищно-коммунального хозяйства в перспективе до 2030 года приведены в таблице 14.</w:t>
            </w:r>
          </w:p>
          <w:p w:rsidR="00704646" w:rsidRPr="00D423B2" w:rsidRDefault="00704646" w:rsidP="00704646">
            <w:pPr>
              <w:ind w:firstLine="8789"/>
              <w:jc w:val="right"/>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w:t>
            </w:r>
            <w:r w:rsidR="007A7BB1">
              <w:rPr>
                <w:rFonts w:ascii="Times New Roman" w:eastAsia="Times New Roman" w:hAnsi="Times New Roman" w:cs="Times New Roman"/>
                <w:sz w:val="24"/>
                <w:szCs w:val="24"/>
                <w:lang w:eastAsia="ru-RU"/>
              </w:rPr>
              <w:t xml:space="preserve">Таблица </w:t>
            </w:r>
            <w:r w:rsidRPr="00D423B2">
              <w:rPr>
                <w:rFonts w:ascii="Times New Roman" w:eastAsia="Times New Roman" w:hAnsi="Times New Roman" w:cs="Times New Roman"/>
                <w:sz w:val="24"/>
                <w:szCs w:val="24"/>
                <w:lang w:eastAsia="ru-RU"/>
              </w:rPr>
              <w:t>14</w:t>
            </w:r>
          </w:p>
          <w:p w:rsidR="007A7BB1" w:rsidRDefault="007A7BB1" w:rsidP="007A7BB1">
            <w:pPr>
              <w:jc w:val="center"/>
              <w:rPr>
                <w:rFonts w:ascii="Times New Roman" w:eastAsia="Times New Roman" w:hAnsi="Times New Roman" w:cs="Times New Roman"/>
                <w:sz w:val="24"/>
                <w:szCs w:val="24"/>
                <w:lang w:eastAsia="ru-RU"/>
              </w:rPr>
            </w:pPr>
          </w:p>
          <w:p w:rsidR="007A7BB1" w:rsidRDefault="007A7BB1" w:rsidP="007A7BB1">
            <w:pPr>
              <w:jc w:val="center"/>
              <w:rPr>
                <w:rFonts w:ascii="Times New Roman" w:eastAsia="Times New Roman" w:hAnsi="Times New Roman" w:cs="Times New Roman"/>
                <w:bCs/>
                <w:iCs/>
                <w:sz w:val="24"/>
                <w:szCs w:val="24"/>
                <w:lang w:eastAsia="ru-RU"/>
              </w:rPr>
            </w:pPr>
            <w:r w:rsidRPr="007A7BB1">
              <w:rPr>
                <w:rFonts w:ascii="Times New Roman" w:eastAsia="Times New Roman" w:hAnsi="Times New Roman" w:cs="Times New Roman"/>
                <w:sz w:val="24"/>
                <w:szCs w:val="24"/>
                <w:lang w:eastAsia="ru-RU"/>
              </w:rPr>
              <w:t>Объем потреблен</w:t>
            </w:r>
            <w:r>
              <w:rPr>
                <w:rFonts w:ascii="Times New Roman" w:eastAsia="Times New Roman" w:hAnsi="Times New Roman" w:cs="Times New Roman"/>
                <w:sz w:val="24"/>
                <w:szCs w:val="24"/>
                <w:lang w:eastAsia="ru-RU"/>
              </w:rPr>
              <w:t xml:space="preserve">ия природного газа населением, </w:t>
            </w:r>
            <w:r w:rsidRPr="007A7BB1">
              <w:rPr>
                <w:rFonts w:ascii="Times New Roman" w:eastAsia="Times New Roman" w:hAnsi="Times New Roman" w:cs="Times New Roman"/>
                <w:sz w:val="24"/>
                <w:szCs w:val="24"/>
                <w:lang w:eastAsia="ru-RU"/>
              </w:rPr>
              <w:t>промышленными предпри</w:t>
            </w:r>
            <w:r>
              <w:rPr>
                <w:rFonts w:ascii="Times New Roman" w:eastAsia="Times New Roman" w:hAnsi="Times New Roman" w:cs="Times New Roman"/>
                <w:sz w:val="24"/>
                <w:szCs w:val="24"/>
                <w:lang w:eastAsia="ru-RU"/>
              </w:rPr>
              <w:t xml:space="preserve">ятиями, объектами энергетики и </w:t>
            </w:r>
            <w:r w:rsidRPr="007A7BB1">
              <w:rPr>
                <w:rFonts w:ascii="Times New Roman" w:eastAsia="Times New Roman" w:hAnsi="Times New Roman" w:cs="Times New Roman"/>
                <w:sz w:val="24"/>
                <w:szCs w:val="24"/>
                <w:lang w:eastAsia="ru-RU"/>
              </w:rPr>
              <w:t>жилищно-коммунального хозяйства в перспективе до 2030 года</w:t>
            </w:r>
            <w:r>
              <w:rPr>
                <w:rFonts w:ascii="Times New Roman" w:eastAsia="Times New Roman" w:hAnsi="Times New Roman" w:cs="Times New Roman"/>
                <w:sz w:val="24"/>
                <w:szCs w:val="24"/>
                <w:lang w:eastAsia="ru-RU"/>
              </w:rPr>
              <w:t xml:space="preserve"> </w:t>
            </w:r>
            <w:r w:rsidRPr="007A7BB1">
              <w:rPr>
                <w:rFonts w:ascii="Times New Roman" w:eastAsia="Times New Roman" w:hAnsi="Times New Roman" w:cs="Times New Roman"/>
                <w:bCs/>
                <w:iCs/>
                <w:sz w:val="24"/>
                <w:szCs w:val="24"/>
                <w:lang w:eastAsia="ru-RU"/>
              </w:rPr>
              <w:t>(по предварительной оценке Министерства промышленности</w:t>
            </w:r>
            <w:r>
              <w:rPr>
                <w:rFonts w:ascii="Times New Roman" w:eastAsia="Times New Roman" w:hAnsi="Times New Roman" w:cs="Times New Roman"/>
                <w:sz w:val="24"/>
                <w:szCs w:val="24"/>
                <w:lang w:eastAsia="ru-RU"/>
              </w:rPr>
              <w:t xml:space="preserve"> </w:t>
            </w:r>
            <w:r w:rsidRPr="007A7BB1">
              <w:rPr>
                <w:rFonts w:ascii="Times New Roman" w:eastAsia="Times New Roman" w:hAnsi="Times New Roman" w:cs="Times New Roman"/>
                <w:bCs/>
                <w:iCs/>
                <w:sz w:val="24"/>
                <w:szCs w:val="24"/>
                <w:lang w:eastAsia="ru-RU"/>
              </w:rPr>
              <w:t>и торговли Республики Татарстан)</w:t>
            </w:r>
          </w:p>
          <w:p w:rsidR="008E1A22" w:rsidRPr="007A7BB1" w:rsidRDefault="008E1A22" w:rsidP="007A7BB1">
            <w:pPr>
              <w:jc w:val="center"/>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0"/>
              <w:gridCol w:w="609"/>
              <w:gridCol w:w="610"/>
              <w:gridCol w:w="609"/>
              <w:gridCol w:w="610"/>
            </w:tblGrid>
            <w:tr w:rsidR="008E1A22" w:rsidRPr="00EE54D2" w:rsidTr="00364A79">
              <w:trPr>
                <w:trHeight w:val="20"/>
              </w:trPr>
              <w:tc>
                <w:tcPr>
                  <w:tcW w:w="2569" w:type="pct"/>
                  <w:shd w:val="clear" w:color="auto" w:fill="auto"/>
                </w:tcPr>
                <w:p w:rsidR="008E1A22" w:rsidRPr="008E1A22" w:rsidRDefault="008E1A22" w:rsidP="008E1A22">
                  <w:pPr>
                    <w:spacing w:before="60" w:after="60"/>
                    <w:jc w:val="both"/>
                    <w:rPr>
                      <w:rFonts w:ascii="Times New Roman" w:hAnsi="Times New Roman" w:cs="Times New Roman"/>
                      <w:bCs/>
                      <w:iCs/>
                      <w:sz w:val="16"/>
                      <w:szCs w:val="16"/>
                    </w:rPr>
                  </w:pPr>
                  <w:r w:rsidRPr="008E1A22">
                    <w:rPr>
                      <w:rFonts w:ascii="Times New Roman" w:hAnsi="Times New Roman" w:cs="Times New Roman"/>
                      <w:bCs/>
                      <w:iCs/>
                      <w:sz w:val="16"/>
                      <w:szCs w:val="16"/>
                    </w:rPr>
                    <w:t>Наименование показателя / годы</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2018</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2020</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2025</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2030</w:t>
                  </w:r>
                </w:p>
              </w:tc>
            </w:tr>
            <w:tr w:rsidR="008E1A22" w:rsidRPr="00EE54D2" w:rsidTr="00364A79">
              <w:trPr>
                <w:trHeight w:val="20"/>
              </w:trPr>
              <w:tc>
                <w:tcPr>
                  <w:tcW w:w="2569" w:type="pct"/>
                  <w:shd w:val="clear" w:color="auto" w:fill="auto"/>
                </w:tcPr>
                <w:p w:rsidR="008E1A22" w:rsidRPr="008E1A22" w:rsidRDefault="008E1A22" w:rsidP="008E1A22">
                  <w:pPr>
                    <w:spacing w:before="60" w:after="60"/>
                    <w:jc w:val="both"/>
                    <w:rPr>
                      <w:rFonts w:ascii="Times New Roman" w:hAnsi="Times New Roman" w:cs="Times New Roman"/>
                      <w:b/>
                      <w:bCs/>
                      <w:iCs/>
                      <w:sz w:val="16"/>
                      <w:szCs w:val="16"/>
                    </w:rPr>
                  </w:pPr>
                  <w:r w:rsidRPr="008E1A22">
                    <w:rPr>
                      <w:rFonts w:ascii="Times New Roman" w:hAnsi="Times New Roman" w:cs="Times New Roman"/>
                      <w:b/>
                      <w:sz w:val="16"/>
                      <w:szCs w:val="16"/>
                    </w:rPr>
                    <w:t>Потребления природного газа населением, промышленными предприятиями, объектами энергетики и жилищно-коммунального хозяйства,</w:t>
                  </w:r>
                  <w:r w:rsidRPr="008E1A22">
                    <w:rPr>
                      <w:rFonts w:ascii="Times New Roman" w:hAnsi="Times New Roman" w:cs="Times New Roman"/>
                      <w:b/>
                      <w:bCs/>
                      <w:iCs/>
                      <w:sz w:val="16"/>
                      <w:szCs w:val="16"/>
                    </w:rPr>
                    <w:t xml:space="preserve"> млн куб.м, в том числе:</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18 083</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19 500</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21 063</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22 602</w:t>
                  </w:r>
                </w:p>
              </w:tc>
            </w:tr>
            <w:tr w:rsidR="008E1A22" w:rsidRPr="00EE54D2" w:rsidTr="00364A79">
              <w:trPr>
                <w:trHeight w:val="20"/>
              </w:trPr>
              <w:tc>
                <w:tcPr>
                  <w:tcW w:w="2569" w:type="pct"/>
                  <w:shd w:val="clear" w:color="auto" w:fill="auto"/>
                </w:tcPr>
                <w:p w:rsidR="008E1A22" w:rsidRPr="008E1A22" w:rsidRDefault="008E1A22" w:rsidP="008E1A22">
                  <w:pPr>
                    <w:spacing w:before="60" w:after="60"/>
                    <w:ind w:left="284"/>
                    <w:jc w:val="both"/>
                    <w:rPr>
                      <w:rFonts w:ascii="Times New Roman" w:hAnsi="Times New Roman" w:cs="Times New Roman"/>
                      <w:b/>
                      <w:bCs/>
                      <w:iCs/>
                      <w:sz w:val="16"/>
                      <w:szCs w:val="16"/>
                    </w:rPr>
                  </w:pPr>
                  <w:r w:rsidRPr="008E1A22">
                    <w:rPr>
                      <w:rFonts w:ascii="Times New Roman" w:hAnsi="Times New Roman" w:cs="Times New Roman"/>
                      <w:b/>
                      <w:bCs/>
                      <w:iCs/>
                      <w:sz w:val="16"/>
                      <w:szCs w:val="16"/>
                    </w:rPr>
                    <w:t>потребление природного газа в качестве газомоторного топлива, млн куб. м:</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35,750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70,755</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285,000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335,000</w:t>
                  </w:r>
                </w:p>
              </w:tc>
            </w:tr>
            <w:tr w:rsidR="008E1A22" w:rsidRPr="00EE54D2" w:rsidTr="00364A79">
              <w:trPr>
                <w:trHeight w:val="20"/>
              </w:trPr>
              <w:tc>
                <w:tcPr>
                  <w:tcW w:w="2569" w:type="pct"/>
                  <w:shd w:val="clear" w:color="auto" w:fill="auto"/>
                </w:tcPr>
                <w:p w:rsidR="008E1A22" w:rsidRPr="008E1A22" w:rsidRDefault="008E1A22" w:rsidP="008E1A22">
                  <w:pPr>
                    <w:spacing w:before="60" w:after="60"/>
                    <w:ind w:left="709"/>
                    <w:jc w:val="both"/>
                    <w:rPr>
                      <w:rFonts w:ascii="Times New Roman" w:hAnsi="Times New Roman" w:cs="Times New Roman"/>
                      <w:bCs/>
                      <w:iCs/>
                      <w:sz w:val="16"/>
                      <w:szCs w:val="16"/>
                    </w:rPr>
                  </w:pPr>
                  <w:r w:rsidRPr="008E1A22">
                    <w:rPr>
                      <w:rFonts w:ascii="Times New Roman" w:hAnsi="Times New Roman" w:cs="Times New Roman"/>
                      <w:bCs/>
                      <w:iCs/>
                      <w:sz w:val="16"/>
                      <w:szCs w:val="16"/>
                    </w:rPr>
                    <w:t>компримированного природного газа КПГ, млн куб. м</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35,750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60,000</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110,000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160,000</w:t>
                  </w:r>
                </w:p>
              </w:tc>
            </w:tr>
            <w:tr w:rsidR="008E1A22" w:rsidRPr="00EE54D2" w:rsidTr="00364A79">
              <w:trPr>
                <w:trHeight w:val="20"/>
              </w:trPr>
              <w:tc>
                <w:tcPr>
                  <w:tcW w:w="2569" w:type="pct"/>
                  <w:shd w:val="clear" w:color="auto" w:fill="auto"/>
                </w:tcPr>
                <w:p w:rsidR="008E1A22" w:rsidRPr="008E1A22" w:rsidRDefault="008E1A22" w:rsidP="008E1A22">
                  <w:pPr>
                    <w:spacing w:before="60" w:after="60"/>
                    <w:ind w:left="709"/>
                    <w:jc w:val="both"/>
                    <w:rPr>
                      <w:rFonts w:ascii="Times New Roman" w:hAnsi="Times New Roman" w:cs="Times New Roman"/>
                      <w:bCs/>
                      <w:iCs/>
                      <w:sz w:val="16"/>
                      <w:szCs w:val="16"/>
                    </w:rPr>
                  </w:pPr>
                  <w:r w:rsidRPr="008E1A22">
                    <w:rPr>
                      <w:rFonts w:ascii="Times New Roman" w:hAnsi="Times New Roman" w:cs="Times New Roman"/>
                      <w:bCs/>
                      <w:iCs/>
                      <w:sz w:val="16"/>
                      <w:szCs w:val="16"/>
                    </w:rPr>
                    <w:t>на производство сжиженного природного газа, млн куб. м</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10,755</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175,000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175,000</w:t>
                  </w:r>
                </w:p>
              </w:tc>
            </w:tr>
          </w:tbl>
          <w:p w:rsidR="00912B10" w:rsidRPr="00D423B2" w:rsidRDefault="00912B10" w:rsidP="00912B10">
            <w:pPr>
              <w:ind w:firstLine="709"/>
              <w:rPr>
                <w:rFonts w:ascii="Times New Roman" w:eastAsia="Times New Roman" w:hAnsi="Times New Roman" w:cs="Times New Roman"/>
                <w:sz w:val="28"/>
                <w:szCs w:val="28"/>
                <w:lang w:eastAsia="ru-RU"/>
              </w:rPr>
            </w:pPr>
          </w:p>
          <w:p w:rsidR="00912B10" w:rsidRPr="00D423B2" w:rsidRDefault="00912B10" w:rsidP="0062080B">
            <w:pPr>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3.7.4. Строительство подземного хранилища газа в Республике Татарстан</w:t>
            </w:r>
          </w:p>
          <w:p w:rsidR="00912B10" w:rsidRPr="00D423B2" w:rsidRDefault="00912B10" w:rsidP="0062080B">
            <w:pPr>
              <w:ind w:firstLine="709"/>
              <w:jc w:val="both"/>
              <w:rPr>
                <w:rFonts w:ascii="Times New Roman" w:eastAsia="Times New Roman" w:hAnsi="Times New Roman" w:cs="Times New Roman"/>
                <w:sz w:val="24"/>
                <w:szCs w:val="24"/>
                <w:lang w:eastAsia="ru-RU"/>
              </w:rPr>
            </w:pP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Подземные хранилища газа (далее – ПХГ) – неотъемлемая часть единой системы газоснабжения России. Они расположены в регионах основного потребления газа. Их использование позволяет регулировать сезонную неравномерность потребления газа, обеспечивать гибкость и надежность его поставок.</w:t>
            </w: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В отдельные периоды возможно возникновение ситуаций, связанных с недостатком природного газа. В первую очередь, дефицит газа возникает во время резкого падения температуры окружающей природной среды в течение отопительного периода. Чрезвычайные ситуации по газообеспечению могут возникнуть и при авариях на магистральных и распределительных газопроводах, расположенных как на территории Республики Татарстан, так и за ее пределами.</w:t>
            </w: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В соответствии с реализуемыми ПАО «Газпром» задачами развития газовой промышленности, направленными в том числе на стабильное, бесперебойное и экономически эффективное удовлетворение внутренних потребителей, начиная с 2005 года проводятся работы по созданию ПХГ на территории Республики Татарстан.</w:t>
            </w: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 xml:space="preserve">После проведения комплекса необходимых изыскательских и геологоразведочных работ для строительства ПХГ выбрана площадка в Алексеевском районе у границы с Чистопольским районом (Арбузовское ПХГ). Месторасположение ПХГ в географическом центре республики обеспечивает оптимальную логистику транспортировки газа от хранилища в сторону г. Казани, а также к потребителям стремительно развивающегося Нижнекамского промышленного узла, где сосредоточены гиганты нефтегазохимической </w:t>
            </w:r>
            <w:r w:rsidRPr="00C900C2">
              <w:rPr>
                <w:rFonts w:ascii="Times New Roman" w:eastAsia="Times New Roman" w:hAnsi="Times New Roman" w:cs="Times New Roman"/>
                <w:sz w:val="24"/>
                <w:szCs w:val="24"/>
                <w:lang w:eastAsia="ru-RU"/>
              </w:rPr>
              <w:br/>
              <w:t xml:space="preserve">отрасли –  ПАО «Нижнекамскнефтехим», АО «ТАИФ-НК», Комплекс «ТАНЕКО», </w:t>
            </w:r>
            <w:r w:rsidRPr="00C900C2">
              <w:rPr>
                <w:rFonts w:ascii="Times New Roman" w:eastAsia="Times New Roman" w:hAnsi="Times New Roman" w:cs="Times New Roman"/>
                <w:sz w:val="24"/>
                <w:szCs w:val="24"/>
                <w:lang w:eastAsia="ru-RU"/>
              </w:rPr>
              <w:br/>
              <w:t>ПАО «Нижнекамскшина» и другие.</w:t>
            </w: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 xml:space="preserve">Проект по строительству ПХГ в Республике Татарстан согласно Приказу </w:t>
            </w:r>
            <w:r w:rsidRPr="00C900C2">
              <w:rPr>
                <w:rFonts w:ascii="Times New Roman" w:eastAsia="Times New Roman" w:hAnsi="Times New Roman" w:cs="Times New Roman"/>
                <w:sz w:val="24"/>
                <w:szCs w:val="24"/>
                <w:lang w:eastAsia="ru-RU"/>
              </w:rPr>
              <w:br/>
              <w:t xml:space="preserve">«О развитии системы ПХГ на территории Российской Федерации на 2019 год и прогнозе до 2028 года» включен в план Мероприятий по строительству, реконструкции и вводу объектов системы подземного хранения газа и прилегающих участков газотранспортной системы на территории Российской Федерации </w:t>
            </w:r>
            <w:r w:rsidRPr="00C900C2">
              <w:rPr>
                <w:rFonts w:ascii="Times New Roman" w:eastAsia="Times New Roman" w:hAnsi="Times New Roman" w:cs="Times New Roman"/>
                <w:sz w:val="24"/>
                <w:szCs w:val="24"/>
                <w:lang w:eastAsia="ru-RU"/>
              </w:rPr>
              <w:br/>
              <w:t xml:space="preserve">на 2019 год с прогнозом до 2028 года. </w:t>
            </w: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Реализация проекта по строительству ПХГ на территории республики позволит регулировать сезонную неравномерность потребления газа, а также обеспечивать гибкость и надежность его поставок.</w:t>
            </w:r>
          </w:p>
          <w:p w:rsidR="003A226B" w:rsidRDefault="003A226B" w:rsidP="003A226B">
            <w:pPr>
              <w:ind w:firstLine="709"/>
              <w:jc w:val="both"/>
              <w:rPr>
                <w:rFonts w:ascii="Times New Roman" w:hAnsi="Times New Roman" w:cs="Times New Roman"/>
                <w:b/>
                <w:sz w:val="24"/>
                <w:szCs w:val="24"/>
              </w:rPr>
            </w:pPr>
          </w:p>
          <w:p w:rsidR="003A226B" w:rsidRPr="003A226B" w:rsidRDefault="003A226B" w:rsidP="003A226B">
            <w:pPr>
              <w:ind w:firstLine="709"/>
              <w:jc w:val="both"/>
              <w:rPr>
                <w:rFonts w:ascii="Times New Roman" w:hAnsi="Times New Roman" w:cs="Times New Roman"/>
                <w:b/>
                <w:sz w:val="24"/>
                <w:szCs w:val="24"/>
              </w:rPr>
            </w:pPr>
            <w:r w:rsidRPr="003A226B">
              <w:rPr>
                <w:rFonts w:ascii="Times New Roman" w:hAnsi="Times New Roman" w:cs="Times New Roman"/>
                <w:b/>
                <w:sz w:val="24"/>
                <w:szCs w:val="24"/>
              </w:rPr>
              <w:t>4. Энергетическая отрасль Республики Татарстан</w:t>
            </w:r>
          </w:p>
          <w:p w:rsidR="00830CE2" w:rsidRPr="00D423B2" w:rsidRDefault="00830CE2" w:rsidP="00912B10">
            <w:pPr>
              <w:ind w:firstLine="709"/>
              <w:jc w:val="both"/>
              <w:rPr>
                <w:rFonts w:ascii="Times New Roman" w:eastAsia="Times New Roman" w:hAnsi="Times New Roman" w:cs="Times New Roman"/>
                <w:b/>
                <w:sz w:val="24"/>
                <w:szCs w:val="24"/>
                <w:lang w:eastAsia="ru-RU"/>
              </w:rPr>
            </w:pPr>
          </w:p>
          <w:p w:rsidR="00830CE2" w:rsidRPr="00D423B2" w:rsidRDefault="00830CE2" w:rsidP="00830CE2">
            <w:pPr>
              <w:pStyle w:val="ConsPlusTitle"/>
              <w:jc w:val="center"/>
              <w:outlineLvl w:val="2"/>
              <w:rPr>
                <w:rFonts w:ascii="Times New Roman" w:hAnsi="Times New Roman" w:cs="Times New Roman"/>
                <w:sz w:val="24"/>
                <w:szCs w:val="24"/>
              </w:rPr>
            </w:pPr>
            <w:r w:rsidRPr="00D423B2">
              <w:rPr>
                <w:rFonts w:ascii="Times New Roman" w:hAnsi="Times New Roman" w:cs="Times New Roman"/>
                <w:sz w:val="24"/>
                <w:szCs w:val="24"/>
              </w:rPr>
              <w:t>4.1. Современное состояние энергетического комплекса Республики Татарстан</w:t>
            </w:r>
          </w:p>
          <w:p w:rsidR="00830CE2" w:rsidRPr="00D423B2" w:rsidRDefault="00830CE2" w:rsidP="00912B10">
            <w:pPr>
              <w:ind w:firstLine="709"/>
              <w:jc w:val="both"/>
              <w:rPr>
                <w:rFonts w:ascii="Times New Roman" w:eastAsia="Times New Roman" w:hAnsi="Times New Roman" w:cs="Times New Roman"/>
                <w:b/>
                <w:sz w:val="24"/>
                <w:szCs w:val="24"/>
                <w:lang w:eastAsia="ru-RU"/>
              </w:rPr>
            </w:pP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Энергосистема Республики Татарстан граничит с энергетическими системами Самарской, Кировской, Ульяновской, Оренбургской областей и республик Марий Эл, Чувашской, Удмуртской, Башкортостан. Передача и распределение электроэнергии и мощности производится по линиям электропередачи напряжением 500, 220, 110, 35 кВ и ниже.</w:t>
            </w: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Энергосистема республики охватывает площадь 68 тыс. кв. км с населением 3,89 млн человек.</w:t>
            </w: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В энергосистеме Республики Татарстан в настоящее время функционируют три производителя электрической и тепловой энергии в режиме комбинированной выработки – АО «Татэнерго», ОАО «ТГК-16», ООО «Нижнекамская ТЭЦ».</w:t>
            </w: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Все три компании имеют статус субъекта оптового рынка электрической энергии и мощности (далее – ОРЭМ) и допуск к его торговой системе. Поэтому от технического состояния оборудования станций, соответствия их современным требованиям энергоэффективности зависят конкурентоспособность вырабатываемой энергии и востребованность на ОРЭМ и розничном рынке электрической энергии.</w:t>
            </w: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Установленная электрическая мощность объектов генерации на 1 января</w:t>
            </w:r>
            <w:r w:rsidRPr="00DE1ECC">
              <w:rPr>
                <w:rFonts w:ascii="Times New Roman" w:eastAsia="Times New Roman" w:hAnsi="Times New Roman" w:cs="Times New Roman"/>
                <w:sz w:val="24"/>
                <w:szCs w:val="24"/>
                <w:lang w:eastAsia="ru-RU"/>
              </w:rPr>
              <w:br/>
              <w:t xml:space="preserve">2019 года составляет 7 992,9 МВт. </w:t>
            </w: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 xml:space="preserve">Установленная электрическая мощность электрических станций оптового рынка электроэнергии и мощности энергосистемы Республики Татарстан составляет 7 759,3 МВт, тепловая мощность – 15 044 Гкал/час. Информация в разрезе компаний представлена в </w:t>
            </w:r>
            <w:hyperlink w:anchor="P1863" w:history="1">
              <w:r w:rsidRPr="00DE1ECC">
                <w:rPr>
                  <w:rStyle w:val="a9"/>
                  <w:rFonts w:ascii="Times New Roman" w:eastAsia="Times New Roman" w:hAnsi="Times New Roman" w:cs="Times New Roman"/>
                  <w:color w:val="000000" w:themeColor="text1"/>
                  <w:sz w:val="24"/>
                  <w:szCs w:val="24"/>
                  <w:u w:val="none"/>
                  <w:lang w:eastAsia="ru-RU"/>
                </w:rPr>
                <w:t>таблице</w:t>
              </w:r>
            </w:hyperlink>
            <w:r w:rsidRPr="00DE1ECC">
              <w:rPr>
                <w:rFonts w:ascii="Times New Roman" w:eastAsia="Times New Roman" w:hAnsi="Times New Roman" w:cs="Times New Roman"/>
                <w:color w:val="000000" w:themeColor="text1"/>
                <w:sz w:val="24"/>
                <w:szCs w:val="24"/>
                <w:lang w:eastAsia="ru-RU"/>
              </w:rPr>
              <w:t xml:space="preserve"> 15.</w:t>
            </w:r>
          </w:p>
          <w:p w:rsidR="00907425" w:rsidRPr="00D423B2" w:rsidRDefault="00907425" w:rsidP="00907425">
            <w:pPr>
              <w:autoSpaceDE w:val="0"/>
              <w:autoSpaceDN w:val="0"/>
              <w:adjustRightInd w:val="0"/>
              <w:jc w:val="both"/>
              <w:rPr>
                <w:rFonts w:ascii="Times New Roman" w:eastAsia="Times New Roman" w:hAnsi="Times New Roman" w:cs="Times New Roman"/>
                <w:sz w:val="28"/>
                <w:szCs w:val="28"/>
                <w:lang w:eastAsia="ru-RU"/>
              </w:rPr>
            </w:pPr>
          </w:p>
          <w:p w:rsidR="00497706" w:rsidRPr="00D423B2" w:rsidRDefault="00AB3021" w:rsidP="00497706">
            <w:pPr>
              <w:pStyle w:val="ConsPlusTitle"/>
              <w:jc w:val="right"/>
              <w:rPr>
                <w:rFonts w:ascii="Times New Roman" w:hAnsi="Times New Roman" w:cs="Times New Roman"/>
                <w:b w:val="0"/>
                <w:sz w:val="24"/>
                <w:szCs w:val="24"/>
              </w:rPr>
            </w:pPr>
            <w:r>
              <w:rPr>
                <w:rFonts w:ascii="Times New Roman" w:hAnsi="Times New Roman" w:cs="Times New Roman"/>
                <w:b w:val="0"/>
                <w:sz w:val="24"/>
                <w:szCs w:val="24"/>
              </w:rPr>
              <w:t xml:space="preserve">Таблица </w:t>
            </w:r>
            <w:r w:rsidR="00497706" w:rsidRPr="00D423B2">
              <w:rPr>
                <w:rFonts w:ascii="Times New Roman" w:hAnsi="Times New Roman" w:cs="Times New Roman"/>
                <w:b w:val="0"/>
                <w:sz w:val="24"/>
                <w:szCs w:val="24"/>
              </w:rPr>
              <w:t>15</w:t>
            </w:r>
          </w:p>
          <w:p w:rsidR="00497706" w:rsidRPr="00D423B2" w:rsidRDefault="00497706" w:rsidP="00497706">
            <w:pPr>
              <w:pStyle w:val="ConsPlusTitle"/>
              <w:jc w:val="center"/>
              <w:rPr>
                <w:rFonts w:ascii="Times New Roman" w:hAnsi="Times New Roman" w:cs="Times New Roman"/>
                <w:b w:val="0"/>
                <w:sz w:val="24"/>
                <w:szCs w:val="24"/>
              </w:rPr>
            </w:pPr>
          </w:p>
          <w:p w:rsidR="00F44B9B" w:rsidRPr="00F44B9B" w:rsidRDefault="00F44B9B" w:rsidP="00F44B9B">
            <w:pPr>
              <w:pStyle w:val="ConsPlusTitle"/>
              <w:jc w:val="center"/>
              <w:rPr>
                <w:rFonts w:ascii="Times New Roman" w:hAnsi="Times New Roman" w:cs="Times New Roman"/>
                <w:b w:val="0"/>
                <w:sz w:val="24"/>
                <w:szCs w:val="24"/>
              </w:rPr>
            </w:pPr>
            <w:r w:rsidRPr="00F44B9B">
              <w:rPr>
                <w:rFonts w:ascii="Times New Roman" w:hAnsi="Times New Roman" w:cs="Times New Roman"/>
                <w:b w:val="0"/>
                <w:sz w:val="24"/>
                <w:szCs w:val="24"/>
              </w:rPr>
              <w:t>Установленная электрическая и тепловая мощность компаний</w:t>
            </w:r>
            <w:r>
              <w:rPr>
                <w:rFonts w:ascii="Times New Roman" w:hAnsi="Times New Roman" w:cs="Times New Roman"/>
                <w:b w:val="0"/>
                <w:sz w:val="24"/>
                <w:szCs w:val="24"/>
              </w:rPr>
              <w:t xml:space="preserve"> </w:t>
            </w:r>
            <w:r w:rsidRPr="00F44B9B">
              <w:rPr>
                <w:rFonts w:ascii="Times New Roman" w:hAnsi="Times New Roman" w:cs="Times New Roman"/>
                <w:b w:val="0"/>
                <w:sz w:val="24"/>
                <w:szCs w:val="24"/>
              </w:rPr>
              <w:t>и электрических станций энергосистемы Республики Татарстан</w:t>
            </w:r>
          </w:p>
          <w:p w:rsidR="00F44B9B" w:rsidRPr="00F44B9B" w:rsidRDefault="00F44B9B" w:rsidP="00F44B9B">
            <w:pPr>
              <w:pStyle w:val="ConsPlusTitle"/>
              <w:jc w:val="center"/>
              <w:rPr>
                <w:rFonts w:ascii="Times New Roman" w:hAnsi="Times New Roman" w:cs="Times New Roman"/>
                <w:b w:val="0"/>
                <w:sz w:val="24"/>
                <w:szCs w:val="24"/>
              </w:rPr>
            </w:pPr>
            <w:r w:rsidRPr="00F44B9B">
              <w:rPr>
                <w:rFonts w:ascii="Times New Roman" w:hAnsi="Times New Roman" w:cs="Times New Roman"/>
                <w:b w:val="0"/>
                <w:sz w:val="24"/>
                <w:szCs w:val="24"/>
              </w:rPr>
              <w:t>(по состоянию на 1 января 2019 года)</w:t>
            </w:r>
          </w:p>
          <w:p w:rsidR="00912B10" w:rsidRPr="00D423B2" w:rsidRDefault="00912B10" w:rsidP="00C66F7D">
            <w:pPr>
              <w:ind w:hanging="142"/>
              <w:jc w:val="both"/>
              <w:rPr>
                <w:rFonts w:ascii="Times New Roman" w:eastAsia="Times New Roman" w:hAnsi="Times New Roman" w:cs="Times New Roman"/>
                <w:bCs/>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7"/>
              <w:gridCol w:w="1424"/>
              <w:gridCol w:w="1204"/>
            </w:tblGrid>
            <w:tr w:rsidR="00FA63D6" w:rsidRPr="00EE54D2" w:rsidTr="00FA63D6">
              <w:trPr>
                <w:trHeight w:val="464"/>
              </w:trPr>
              <w:tc>
                <w:tcPr>
                  <w:tcW w:w="2357" w:type="dxa"/>
                  <w:vMerge w:val="restart"/>
                  <w:shd w:val="clear" w:color="auto" w:fill="auto"/>
                  <w:vAlign w:val="center"/>
                </w:tcPr>
                <w:p w:rsidR="00FA63D6" w:rsidRPr="00FA63D6" w:rsidRDefault="00FA63D6" w:rsidP="00FA63D6">
                  <w:pPr>
                    <w:pStyle w:val="ConsPlusTitle"/>
                    <w:spacing w:before="60" w:after="60"/>
                    <w:jc w:val="center"/>
                    <w:rPr>
                      <w:rFonts w:ascii="Times New Roman" w:hAnsi="Times New Roman" w:cs="Times New Roman"/>
                      <w:b w:val="0"/>
                      <w:sz w:val="16"/>
                      <w:szCs w:val="16"/>
                    </w:rPr>
                  </w:pPr>
                  <w:r w:rsidRPr="00FA63D6">
                    <w:rPr>
                      <w:rFonts w:ascii="Times New Roman" w:hAnsi="Times New Roman" w:cs="Times New Roman"/>
                      <w:b w:val="0"/>
                      <w:sz w:val="16"/>
                      <w:szCs w:val="16"/>
                    </w:rPr>
                    <w:t>Наименование электростанции</w:t>
                  </w:r>
                </w:p>
              </w:tc>
              <w:tc>
                <w:tcPr>
                  <w:tcW w:w="2628" w:type="dxa"/>
                  <w:gridSpan w:val="2"/>
                  <w:shd w:val="clear" w:color="auto" w:fill="auto"/>
                  <w:vAlign w:val="center"/>
                </w:tcPr>
                <w:p w:rsidR="00FA63D6" w:rsidRPr="00FA63D6" w:rsidRDefault="00FA63D6" w:rsidP="00FA63D6">
                  <w:pPr>
                    <w:pStyle w:val="ConsPlusTitle"/>
                    <w:spacing w:before="60" w:after="60"/>
                    <w:jc w:val="center"/>
                    <w:rPr>
                      <w:rFonts w:ascii="Times New Roman" w:hAnsi="Times New Roman" w:cs="Times New Roman"/>
                      <w:b w:val="0"/>
                      <w:sz w:val="16"/>
                      <w:szCs w:val="16"/>
                    </w:rPr>
                  </w:pPr>
                  <w:r w:rsidRPr="00FA63D6">
                    <w:rPr>
                      <w:rFonts w:ascii="Times New Roman" w:hAnsi="Times New Roman" w:cs="Times New Roman"/>
                      <w:b w:val="0"/>
                      <w:sz w:val="16"/>
                      <w:szCs w:val="16"/>
                    </w:rPr>
                    <w:t>Установленная мощность</w:t>
                  </w:r>
                </w:p>
              </w:tc>
            </w:tr>
            <w:tr w:rsidR="00FA63D6" w:rsidRPr="00EE54D2" w:rsidTr="00FA63D6">
              <w:trPr>
                <w:trHeight w:val="482"/>
              </w:trPr>
              <w:tc>
                <w:tcPr>
                  <w:tcW w:w="2357" w:type="dxa"/>
                  <w:vMerge/>
                  <w:shd w:val="clear" w:color="auto" w:fill="auto"/>
                </w:tcPr>
                <w:p w:rsidR="00FA63D6" w:rsidRPr="00FA63D6" w:rsidRDefault="00FA63D6" w:rsidP="00FA63D6">
                  <w:pPr>
                    <w:pStyle w:val="ConsPlusTitle"/>
                    <w:spacing w:before="60" w:after="60"/>
                    <w:jc w:val="center"/>
                    <w:rPr>
                      <w:rFonts w:ascii="Times New Roman" w:hAnsi="Times New Roman" w:cs="Times New Roman"/>
                      <w:b w:val="0"/>
                      <w:sz w:val="16"/>
                      <w:szCs w:val="16"/>
                    </w:rPr>
                  </w:pPr>
                </w:p>
              </w:tc>
              <w:tc>
                <w:tcPr>
                  <w:tcW w:w="1424" w:type="dxa"/>
                  <w:shd w:val="clear" w:color="auto" w:fill="auto"/>
                </w:tcPr>
                <w:p w:rsidR="00FA63D6" w:rsidRPr="00FA63D6" w:rsidRDefault="00FA63D6" w:rsidP="00FA63D6">
                  <w:pPr>
                    <w:pStyle w:val="ConsPlusTitle"/>
                    <w:spacing w:before="60" w:after="60"/>
                    <w:jc w:val="center"/>
                    <w:rPr>
                      <w:rFonts w:ascii="Times New Roman" w:hAnsi="Times New Roman" w:cs="Times New Roman"/>
                      <w:b w:val="0"/>
                      <w:sz w:val="16"/>
                      <w:szCs w:val="16"/>
                    </w:rPr>
                  </w:pPr>
                  <w:r w:rsidRPr="00FA63D6">
                    <w:rPr>
                      <w:rFonts w:ascii="Times New Roman" w:hAnsi="Times New Roman" w:cs="Times New Roman"/>
                      <w:b w:val="0"/>
                      <w:sz w:val="16"/>
                      <w:szCs w:val="16"/>
                    </w:rPr>
                    <w:t>электрическая, МВт</w:t>
                  </w:r>
                </w:p>
              </w:tc>
              <w:tc>
                <w:tcPr>
                  <w:tcW w:w="1203" w:type="dxa"/>
                  <w:shd w:val="clear" w:color="auto" w:fill="auto"/>
                </w:tcPr>
                <w:p w:rsidR="00FA63D6" w:rsidRPr="00FA63D6" w:rsidRDefault="00FA63D6" w:rsidP="00FA63D6">
                  <w:pPr>
                    <w:pStyle w:val="ConsPlusTitle"/>
                    <w:spacing w:before="60" w:after="60"/>
                    <w:jc w:val="center"/>
                    <w:rPr>
                      <w:rFonts w:ascii="Times New Roman" w:hAnsi="Times New Roman" w:cs="Times New Roman"/>
                      <w:b w:val="0"/>
                      <w:sz w:val="16"/>
                      <w:szCs w:val="16"/>
                    </w:rPr>
                  </w:pPr>
                  <w:r w:rsidRPr="00FA63D6">
                    <w:rPr>
                      <w:rFonts w:ascii="Times New Roman" w:hAnsi="Times New Roman" w:cs="Times New Roman"/>
                      <w:b w:val="0"/>
                      <w:sz w:val="16"/>
                      <w:szCs w:val="16"/>
                    </w:rPr>
                    <w:t>тепловая, Гкал/час</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rPr>
                      <w:rFonts w:ascii="Times New Roman" w:hAnsi="Times New Roman" w:cs="Times New Roman"/>
                      <w:sz w:val="16"/>
                      <w:szCs w:val="16"/>
                    </w:rPr>
                  </w:pPr>
                  <w:r w:rsidRPr="00FA63D6">
                    <w:rPr>
                      <w:rFonts w:ascii="Times New Roman" w:hAnsi="Times New Roman" w:cs="Times New Roman"/>
                      <w:b/>
                      <w:sz w:val="16"/>
                      <w:szCs w:val="16"/>
                    </w:rPr>
                    <w:t>АО «Татэнерго»,</w:t>
                  </w:r>
                  <w:r w:rsidRPr="00FA63D6">
                    <w:rPr>
                      <w:rFonts w:ascii="Times New Roman" w:hAnsi="Times New Roman" w:cs="Times New Roman"/>
                      <w:sz w:val="16"/>
                      <w:szCs w:val="16"/>
                    </w:rPr>
                    <w:t xml:space="preserve"> в том числе</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5 376,9</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7 328,0</w:t>
                  </w:r>
                </w:p>
              </w:tc>
            </w:tr>
            <w:tr w:rsidR="00FA63D6" w:rsidRPr="00EE54D2" w:rsidTr="00FA63D6">
              <w:trPr>
                <w:trHeight w:val="500"/>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Казанская ТЭЦ-1</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377</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525</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Казанская ТЭЦ-2</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410</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876</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Набережночелнинская ТЭЦ</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1 180</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4 092</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Нижнекамская ГЭС</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1 205</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Заинская ГРЭС</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2</w:t>
                  </w:r>
                  <w:r w:rsidRPr="00FA63D6">
                    <w:rPr>
                      <w:rFonts w:ascii="Times New Roman" w:hAnsi="Times New Roman" w:cs="Times New Roman"/>
                      <w:sz w:val="16"/>
                      <w:szCs w:val="16"/>
                      <w:lang w:val="en-US"/>
                    </w:rPr>
                    <w:t xml:space="preserve"> </w:t>
                  </w:r>
                  <w:r w:rsidRPr="00FA63D6">
                    <w:rPr>
                      <w:rFonts w:ascii="Times New Roman" w:hAnsi="Times New Roman" w:cs="Times New Roman"/>
                      <w:sz w:val="16"/>
                      <w:szCs w:val="16"/>
                    </w:rPr>
                    <w:t>204,9</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145</w:t>
                  </w:r>
                </w:p>
              </w:tc>
            </w:tr>
            <w:tr w:rsidR="00FA63D6" w:rsidRPr="00EE54D2" w:rsidTr="00FA63D6">
              <w:trPr>
                <w:trHeight w:val="500"/>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Котельная «Азино»</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360</w:t>
                  </w:r>
                </w:p>
              </w:tc>
            </w:tr>
            <w:tr w:rsidR="00FA63D6" w:rsidRPr="00EE54D2" w:rsidTr="00FA63D6">
              <w:trPr>
                <w:trHeight w:val="464"/>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Котельная «Горки»</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200</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Котельная «Савиново»</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540</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КЦ БСИ</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590</w:t>
                  </w:r>
                </w:p>
              </w:tc>
            </w:tr>
            <w:tr w:rsidR="00FA63D6" w:rsidRPr="00EE54D2" w:rsidTr="00FA63D6">
              <w:trPr>
                <w:trHeight w:val="500"/>
              </w:trPr>
              <w:tc>
                <w:tcPr>
                  <w:tcW w:w="2357" w:type="dxa"/>
                  <w:shd w:val="clear" w:color="auto" w:fill="auto"/>
                </w:tcPr>
                <w:p w:rsidR="00FA63D6" w:rsidRPr="00FA63D6" w:rsidRDefault="00FA63D6" w:rsidP="00FA63D6">
                  <w:pPr>
                    <w:pStyle w:val="ConsPlusNormal"/>
                    <w:spacing w:before="60" w:after="60"/>
                    <w:rPr>
                      <w:rFonts w:ascii="Times New Roman" w:hAnsi="Times New Roman" w:cs="Times New Roman"/>
                      <w:sz w:val="16"/>
                      <w:szCs w:val="16"/>
                    </w:rPr>
                  </w:pPr>
                  <w:r w:rsidRPr="00FA63D6">
                    <w:rPr>
                      <w:rFonts w:ascii="Times New Roman" w:hAnsi="Times New Roman" w:cs="Times New Roman"/>
                      <w:b/>
                      <w:sz w:val="16"/>
                      <w:szCs w:val="16"/>
                    </w:rPr>
                    <w:t>ОАО «ТГК-16»</w:t>
                  </w:r>
                  <w:r w:rsidRPr="00FA63D6">
                    <w:rPr>
                      <w:rFonts w:ascii="Times New Roman" w:hAnsi="Times New Roman" w:cs="Times New Roman"/>
                      <w:sz w:val="16"/>
                      <w:szCs w:val="16"/>
                    </w:rPr>
                    <w:t>, в том числе</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1 658,4</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6</w:t>
                  </w:r>
                  <w:r w:rsidRPr="00FA63D6">
                    <w:rPr>
                      <w:rFonts w:ascii="Times New Roman" w:hAnsi="Times New Roman" w:cs="Times New Roman"/>
                      <w:b/>
                      <w:sz w:val="16"/>
                      <w:szCs w:val="16"/>
                      <w:lang w:val="en-US"/>
                    </w:rPr>
                    <w:t xml:space="preserve"> </w:t>
                  </w:r>
                  <w:r w:rsidRPr="00FA63D6">
                    <w:rPr>
                      <w:rFonts w:ascii="Times New Roman" w:hAnsi="Times New Roman" w:cs="Times New Roman"/>
                      <w:b/>
                      <w:sz w:val="16"/>
                      <w:szCs w:val="16"/>
                    </w:rPr>
                    <w:t>136,0</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Казанская ТЭЦ-3</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778,4</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2 390</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Нижнекамская ТЭЦ (ПТК-1)</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880</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3 746</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rPr>
                      <w:rFonts w:ascii="Times New Roman" w:hAnsi="Times New Roman" w:cs="Times New Roman"/>
                      <w:sz w:val="16"/>
                      <w:szCs w:val="16"/>
                    </w:rPr>
                  </w:pPr>
                  <w:r w:rsidRPr="00FA63D6">
                    <w:rPr>
                      <w:rFonts w:ascii="Times New Roman" w:hAnsi="Times New Roman" w:cs="Times New Roman"/>
                      <w:b/>
                      <w:sz w:val="16"/>
                      <w:szCs w:val="16"/>
                    </w:rPr>
                    <w:t>ООО «Нижнекамская ТЭЦ»</w:t>
                  </w:r>
                  <w:r w:rsidRPr="00FA63D6">
                    <w:rPr>
                      <w:rFonts w:ascii="Times New Roman" w:hAnsi="Times New Roman" w:cs="Times New Roman"/>
                      <w:sz w:val="16"/>
                      <w:szCs w:val="16"/>
                    </w:rPr>
                    <w:t>, в том числе</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724</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1 580</w:t>
                  </w:r>
                </w:p>
              </w:tc>
            </w:tr>
            <w:tr w:rsidR="00FA63D6" w:rsidRPr="00EE54D2" w:rsidTr="00FA63D6">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Нижнекамская ТЭЦ (ПТК-2)</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724</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1 580</w:t>
                  </w:r>
                </w:p>
              </w:tc>
            </w:tr>
          </w:tbl>
          <w:p w:rsidR="00FA63D6" w:rsidRDefault="00FA63D6" w:rsidP="00DD46E6">
            <w:pPr>
              <w:ind w:firstLine="709"/>
              <w:jc w:val="both"/>
              <w:rPr>
                <w:rFonts w:ascii="Times New Roman" w:eastAsia="Times New Roman" w:hAnsi="Times New Roman" w:cs="Times New Roman"/>
                <w:sz w:val="24"/>
                <w:szCs w:val="24"/>
                <w:lang w:eastAsia="ru-RU"/>
              </w:rPr>
            </w:pP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Передача электрической энергии осуществляется по сетям электросетевых компаний.</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Крупнейшей электросетевой организацией в Республике Татарстан является ОАО «Сетевая компания». По состоянию на 1 января 2019 года в республике также функционирует 27 территориально – сетевых организаций (ТСО).</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 xml:space="preserve">В филиалах ОАО «Сетевая компания» находится в эксплуатации </w:t>
            </w:r>
            <w:r w:rsidRPr="003B17D7">
              <w:rPr>
                <w:rFonts w:ascii="Times New Roman" w:eastAsia="Times New Roman" w:hAnsi="Times New Roman" w:cs="Times New Roman"/>
                <w:sz w:val="24"/>
                <w:szCs w:val="24"/>
                <w:lang w:eastAsia="ru-RU"/>
              </w:rPr>
              <w:br/>
              <w:t>381 подстанция 35 – 500 кВ установленной мощностью 18 876,7 МВА,</w:t>
            </w:r>
            <w:r w:rsidRPr="003B17D7">
              <w:rPr>
                <w:rFonts w:ascii="Times New Roman" w:eastAsia="Times New Roman" w:hAnsi="Times New Roman" w:cs="Times New Roman"/>
                <w:sz w:val="24"/>
                <w:szCs w:val="24"/>
                <w:lang w:eastAsia="ru-RU"/>
              </w:rPr>
              <w:br/>
              <w:t>в работе на ПС 35 – 500 кВ находится 755 силовых трансформаторов (</w:t>
            </w:r>
            <w:r w:rsidRPr="003B17D7">
              <w:rPr>
                <w:rFonts w:ascii="Times New Roman" w:eastAsia="Times New Roman" w:hAnsi="Times New Roman" w:cs="Times New Roman"/>
                <w:i/>
                <w:sz w:val="24"/>
                <w:szCs w:val="24"/>
                <w:lang w:eastAsia="ru-RU"/>
              </w:rPr>
              <w:t>автотрансформаторов</w:t>
            </w:r>
            <w:r w:rsidRPr="003B17D7">
              <w:rPr>
                <w:rFonts w:ascii="Times New Roman" w:eastAsia="Times New Roman" w:hAnsi="Times New Roman" w:cs="Times New Roman"/>
                <w:sz w:val="24"/>
                <w:szCs w:val="24"/>
                <w:lang w:eastAsia="ru-RU"/>
              </w:rPr>
              <w:t>) класса напряжения 3-500 кВ. </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Энергосистема Республики Татарстан является наиболее крупной в территориальной структуре электропотребления Объединенной энергетической системы Средней Волги, имеет наибольший удельный вес в суммарном потреблении электрической энергии в системе 27,9 процента, и в течение прогнозного периода данный показатель не претерпит существенных изменений.</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Основные проблемные вопросы энергетической отрасли Татарстана заключаются в следующем.</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 xml:space="preserve">По состоянию на 1 января 2019 года физический износ основных производственных фондов ОАО «Сетевая компания» (линии электропередач, трансформаторы) составляет 61,4 процента, по линиям электропередач напряжением СН1 (35 кВ) износ достигает 76,41 процента. Вместе с тем потери электрической энергии при транспортировке по сетям ОАО «Сетевая компания» снизились с 7,1 процента в 2016 году до 6,94 процента в 2018 году. </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Несмотря на то, что уровень потерь в сетях ОАО «Сетевая компания» является одним из самых низких в стране, указанное значение выше по сравнению со значениями сетевых потерь в промышленно развитых странах мира.</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 xml:space="preserve">По состоянию на 1 января 2019 года физический износ основных производственных фондов по объектам генерации составил: АО «Татэнерго» – </w:t>
            </w:r>
            <w:r w:rsidRPr="003B17D7">
              <w:rPr>
                <w:rFonts w:ascii="Times New Roman" w:eastAsia="Times New Roman" w:hAnsi="Times New Roman" w:cs="Times New Roman"/>
                <w:sz w:val="24"/>
                <w:szCs w:val="24"/>
                <w:lang w:eastAsia="ru-RU"/>
              </w:rPr>
              <w:br/>
              <w:t xml:space="preserve">69,0 процентов, ООО «Нижнекамская ТЭЦ» – 58,0 процентов, ОАО «ТГК-16» – </w:t>
            </w:r>
            <w:r w:rsidRPr="003B17D7">
              <w:rPr>
                <w:rFonts w:ascii="Times New Roman" w:eastAsia="Times New Roman" w:hAnsi="Times New Roman" w:cs="Times New Roman"/>
                <w:sz w:val="24"/>
                <w:szCs w:val="24"/>
                <w:lang w:eastAsia="ru-RU"/>
              </w:rPr>
              <w:br/>
              <w:t>56,9 процента. Такая ситуация связана с необходимостью значительных капитальных вложений, высокими сроками окупаемости мероприятий по модернизации объектов электроэнергетики.</w:t>
            </w:r>
          </w:p>
          <w:p w:rsidR="00DC0F45" w:rsidRPr="00D423B2" w:rsidRDefault="00DC0F45" w:rsidP="00DC0F45">
            <w:pPr>
              <w:widowControl w:val="0"/>
              <w:autoSpaceDE w:val="0"/>
              <w:autoSpaceDN w:val="0"/>
              <w:jc w:val="center"/>
              <w:outlineLvl w:val="3"/>
              <w:rPr>
                <w:rFonts w:ascii="Times New Roman" w:eastAsia="Times New Roman" w:hAnsi="Times New Roman" w:cs="Times New Roman"/>
                <w:sz w:val="28"/>
                <w:szCs w:val="28"/>
                <w:lang w:eastAsia="ru-RU"/>
              </w:rPr>
            </w:pPr>
          </w:p>
          <w:p w:rsidR="00DC0F45" w:rsidRPr="00D423B2" w:rsidRDefault="00DC0F45" w:rsidP="00DC0F45">
            <w:pPr>
              <w:widowControl w:val="0"/>
              <w:autoSpaceDE w:val="0"/>
              <w:autoSpaceDN w:val="0"/>
              <w:jc w:val="center"/>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4.1.1. Структура производства и потребления электрической и тепловой энергии</w:t>
            </w:r>
          </w:p>
          <w:p w:rsidR="0033609B" w:rsidRPr="0033609B" w:rsidRDefault="0033609B" w:rsidP="0033609B">
            <w:pPr>
              <w:autoSpaceDE w:val="0"/>
              <w:autoSpaceDN w:val="0"/>
              <w:adjustRightInd w:val="0"/>
              <w:spacing w:before="220"/>
              <w:ind w:firstLine="709"/>
              <w:jc w:val="both"/>
              <w:rPr>
                <w:rFonts w:ascii="Times New Roman" w:eastAsia="Times New Roman" w:hAnsi="Times New Roman" w:cs="Times New Roman"/>
                <w:sz w:val="24"/>
                <w:szCs w:val="24"/>
                <w:lang w:eastAsia="ru-RU"/>
              </w:rPr>
            </w:pPr>
            <w:r w:rsidRPr="0033609B">
              <w:rPr>
                <w:rFonts w:ascii="Times New Roman" w:eastAsia="Times New Roman" w:hAnsi="Times New Roman" w:cs="Times New Roman"/>
                <w:sz w:val="24"/>
                <w:szCs w:val="24"/>
                <w:lang w:eastAsia="ru-RU"/>
              </w:rPr>
              <w:t>Выработка электрической энергии в Республике Татарстан осуществляется в основном на тепловых электростанциях. На долю гидроэлектростанции (Нижнекамская ГЭС) приходится 7 – 10 процентов выработки.</w:t>
            </w:r>
          </w:p>
          <w:p w:rsidR="00DC0F45" w:rsidRPr="00D423B2" w:rsidRDefault="0033609B" w:rsidP="0033609B">
            <w:pPr>
              <w:ind w:firstLine="709"/>
              <w:contextualSpacing/>
              <w:jc w:val="both"/>
              <w:rPr>
                <w:rFonts w:ascii="Times New Roman" w:eastAsia="Times New Roman" w:hAnsi="Times New Roman" w:cs="Times New Roman"/>
                <w:sz w:val="24"/>
                <w:szCs w:val="24"/>
                <w:lang w:eastAsia="ru-RU"/>
              </w:rPr>
            </w:pPr>
            <w:r w:rsidRPr="0033609B">
              <w:rPr>
                <w:rFonts w:ascii="Times New Roman" w:eastAsia="Times New Roman" w:hAnsi="Times New Roman" w:cs="Times New Roman"/>
                <w:sz w:val="24"/>
                <w:szCs w:val="24"/>
                <w:lang w:eastAsia="ru-RU"/>
              </w:rPr>
              <w:t>По информации филиала АО «СО ЕЭС» РДУ Татарстана за 2018 год в республике всего выработано 27,2 млрд кВтч электрической энергии, что</w:t>
            </w:r>
            <w:r w:rsidRPr="0033609B">
              <w:rPr>
                <w:rFonts w:ascii="Times New Roman" w:eastAsia="Times New Roman" w:hAnsi="Times New Roman" w:cs="Times New Roman"/>
                <w:sz w:val="24"/>
                <w:szCs w:val="24"/>
                <w:lang w:eastAsia="ru-RU"/>
              </w:rPr>
              <w:br/>
              <w:t>на 25,8 процента выше уровня 2017 года, в том числе выработка электростанциями ОРЭМ – 26,1 млрд кВт*ч.</w:t>
            </w:r>
          </w:p>
          <w:p w:rsidR="00DC0F45" w:rsidRPr="00D423B2" w:rsidRDefault="00DC0F45" w:rsidP="002052DB">
            <w:pPr>
              <w:contextualSpacing/>
              <w:jc w:val="both"/>
              <w:rPr>
                <w:rFonts w:ascii="Times New Roman" w:eastAsia="Times New Roman" w:hAnsi="Times New Roman" w:cs="Times New Roman"/>
                <w:sz w:val="24"/>
                <w:szCs w:val="24"/>
                <w:lang w:eastAsia="ru-RU"/>
              </w:rPr>
            </w:pPr>
          </w:p>
          <w:p w:rsidR="00DC0F45" w:rsidRPr="00D423B2" w:rsidRDefault="00235235" w:rsidP="00DD46E6">
            <w:pPr>
              <w:autoSpaceDE w:val="0"/>
              <w:autoSpaceDN w:val="0"/>
              <w:adjustRightInd w:val="0"/>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778850DA" wp14:editId="4392B088">
                  <wp:extent cx="2265024" cy="1343025"/>
                  <wp:effectExtent l="0" t="0" r="254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65024" cy="1343025"/>
                          </a:xfrm>
                          <a:prstGeom prst="rect">
                            <a:avLst/>
                          </a:prstGeom>
                          <a:noFill/>
                        </pic:spPr>
                      </pic:pic>
                    </a:graphicData>
                  </a:graphic>
                </wp:inline>
              </w:drawing>
            </w:r>
          </w:p>
          <w:p w:rsidR="00C15E51" w:rsidRPr="00D423B2" w:rsidRDefault="00C15E51" w:rsidP="00DD46E6">
            <w:pPr>
              <w:autoSpaceDE w:val="0"/>
              <w:autoSpaceDN w:val="0"/>
              <w:adjustRightInd w:val="0"/>
              <w:ind w:firstLine="709"/>
              <w:jc w:val="both"/>
              <w:rPr>
                <w:rFonts w:ascii="Times New Roman" w:eastAsia="Times New Roman" w:hAnsi="Times New Roman" w:cs="Times New Roman"/>
                <w:sz w:val="24"/>
                <w:szCs w:val="24"/>
                <w:lang w:eastAsia="ru-RU"/>
              </w:rPr>
            </w:pPr>
          </w:p>
          <w:p w:rsidR="003F6E4D" w:rsidRPr="003F6E4D" w:rsidRDefault="003F6E4D" w:rsidP="003F6E4D">
            <w:pPr>
              <w:autoSpaceDE w:val="0"/>
              <w:autoSpaceDN w:val="0"/>
              <w:adjustRightInd w:val="0"/>
              <w:jc w:val="center"/>
              <w:rPr>
                <w:rFonts w:ascii="Times New Roman" w:eastAsia="Times New Roman" w:hAnsi="Times New Roman" w:cs="Times New Roman"/>
                <w:sz w:val="16"/>
                <w:szCs w:val="16"/>
                <w:lang w:eastAsia="ru-RU"/>
              </w:rPr>
            </w:pPr>
            <w:r w:rsidRPr="003F6E4D">
              <w:rPr>
                <w:rFonts w:ascii="Times New Roman" w:eastAsia="Times New Roman" w:hAnsi="Times New Roman" w:cs="Times New Roman"/>
                <w:sz w:val="16"/>
                <w:szCs w:val="16"/>
                <w:lang w:eastAsia="ru-RU"/>
              </w:rPr>
              <w:t xml:space="preserve">Рис. 20. Структура выработки электрической энергии электростанциями, </w:t>
            </w:r>
            <w:r w:rsidRPr="003F6E4D">
              <w:rPr>
                <w:rFonts w:ascii="Times New Roman" w:eastAsia="Times New Roman" w:hAnsi="Times New Roman" w:cs="Times New Roman"/>
                <w:sz w:val="16"/>
                <w:szCs w:val="16"/>
                <w:lang w:eastAsia="ru-RU"/>
              </w:rPr>
              <w:br/>
              <w:t>функционирующими в Республике Татарстан за 2018 год</w:t>
            </w:r>
          </w:p>
          <w:p w:rsidR="00640FC3" w:rsidRPr="00D423B2" w:rsidRDefault="00640FC3" w:rsidP="00FF59F0">
            <w:pPr>
              <w:autoSpaceDE w:val="0"/>
              <w:autoSpaceDN w:val="0"/>
              <w:adjustRightInd w:val="0"/>
              <w:rPr>
                <w:rFonts w:ascii="Times New Roman" w:eastAsia="Times New Roman" w:hAnsi="Times New Roman" w:cs="Times New Roman"/>
                <w:sz w:val="16"/>
                <w:szCs w:val="16"/>
                <w:lang w:eastAsia="ru-RU"/>
              </w:rPr>
            </w:pP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В последние годы наблюдается рост выработки электрической энергии, что объясняется вводом современных источников электрической энергии.</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Увеличение потребления электрической энергии в Республике Татарстан в 2018 году по отношению к 2014 году составило 3,1 млрд кВт*ч или 11,3 процента. Потребление электрической энергии за 2018 год составило 30 191 млн кВт*ч.</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За рассматриваемый период структура потребления электрической энергии в разрезе групп потребителей не претерпела существенных изменений. Так, по итогам 2018 года потребление электроэнергии по группам потребителей в общем объеме потребления в Республике Татарстан представлено следующим образом:</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 xml:space="preserve">химия, нефтехимия – 18,0 процентов (снижение относительно 2014 года </w:t>
            </w:r>
            <w:r w:rsidRPr="00D42C75">
              <w:rPr>
                <w:rFonts w:ascii="Times New Roman" w:eastAsia="Times New Roman" w:hAnsi="Times New Roman" w:cs="Times New Roman"/>
                <w:sz w:val="24"/>
                <w:szCs w:val="24"/>
                <w:lang w:eastAsia="ru-RU"/>
              </w:rPr>
              <w:br/>
              <w:t>на 0,7 процента);</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нефтедобыча – 14,6 процента (рост относительно 2014 года на 0,1 процента);</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 xml:space="preserve">машиностроение – 6,0 процентов (снижение относительно 2014 года </w:t>
            </w:r>
            <w:r w:rsidRPr="00D42C75">
              <w:rPr>
                <w:rFonts w:ascii="Times New Roman" w:eastAsia="Times New Roman" w:hAnsi="Times New Roman" w:cs="Times New Roman"/>
                <w:sz w:val="24"/>
                <w:szCs w:val="24"/>
                <w:lang w:eastAsia="ru-RU"/>
              </w:rPr>
              <w:br/>
              <w:t>на 0,3 процента);</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 xml:space="preserve">население – 12,3 процента (снижение относительно 2014 года </w:t>
            </w:r>
            <w:r w:rsidRPr="00D42C75">
              <w:rPr>
                <w:rFonts w:ascii="Times New Roman" w:eastAsia="Times New Roman" w:hAnsi="Times New Roman" w:cs="Times New Roman"/>
                <w:sz w:val="24"/>
                <w:szCs w:val="24"/>
                <w:lang w:eastAsia="ru-RU"/>
              </w:rPr>
              <w:br/>
              <w:t>на 0,1 процента);</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 xml:space="preserve">прочие потребители – 11,8 процента (рост относительно 2014 года </w:t>
            </w:r>
            <w:r w:rsidRPr="00D42C75">
              <w:rPr>
                <w:rFonts w:ascii="Times New Roman" w:eastAsia="Times New Roman" w:hAnsi="Times New Roman" w:cs="Times New Roman"/>
                <w:sz w:val="24"/>
                <w:szCs w:val="24"/>
                <w:lang w:eastAsia="ru-RU"/>
              </w:rPr>
              <w:br/>
              <w:t>на 1,2 процента).</w:t>
            </w:r>
          </w:p>
          <w:p w:rsidR="00B03217" w:rsidRPr="00D423B2" w:rsidRDefault="00B03217" w:rsidP="00640FC3">
            <w:pPr>
              <w:shd w:val="clear" w:color="auto" w:fill="FFFFFF"/>
              <w:autoSpaceDE w:val="0"/>
              <w:autoSpaceDN w:val="0"/>
              <w:adjustRightInd w:val="0"/>
              <w:ind w:left="360" w:firstLine="709"/>
              <w:jc w:val="both"/>
              <w:rPr>
                <w:rFonts w:ascii="Times New Roman" w:eastAsia="Times New Roman" w:hAnsi="Times New Roman" w:cs="Times New Roman"/>
                <w:sz w:val="24"/>
                <w:szCs w:val="24"/>
                <w:lang w:eastAsia="ru-RU"/>
              </w:rPr>
            </w:pPr>
          </w:p>
          <w:p w:rsidR="00C15E51" w:rsidRPr="00D423B2" w:rsidRDefault="00B03217" w:rsidP="009B2D5C">
            <w:pPr>
              <w:shd w:val="clear" w:color="auto" w:fill="FFFFFF"/>
              <w:autoSpaceDE w:val="0"/>
              <w:autoSpaceDN w:val="0"/>
              <w:adjustRightInd w:val="0"/>
              <w:ind w:left="360" w:hanging="185"/>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6D8B3CA0" wp14:editId="11A1C38F">
                  <wp:extent cx="2000250" cy="974967"/>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23049" cy="986080"/>
                          </a:xfrm>
                          <a:prstGeom prst="rect">
                            <a:avLst/>
                          </a:prstGeom>
                          <a:noFill/>
                        </pic:spPr>
                      </pic:pic>
                    </a:graphicData>
                  </a:graphic>
                </wp:inline>
              </w:drawing>
            </w:r>
          </w:p>
          <w:p w:rsidR="009B2D5C" w:rsidRPr="009B2D5C" w:rsidRDefault="009B2D5C" w:rsidP="009B2D5C">
            <w:pPr>
              <w:autoSpaceDE w:val="0"/>
              <w:autoSpaceDN w:val="0"/>
              <w:adjustRightInd w:val="0"/>
              <w:jc w:val="center"/>
              <w:rPr>
                <w:rFonts w:ascii="Times New Roman" w:eastAsia="Times New Roman" w:hAnsi="Times New Roman" w:cs="Times New Roman"/>
                <w:sz w:val="16"/>
                <w:szCs w:val="16"/>
                <w:lang w:eastAsia="ru-RU"/>
              </w:rPr>
            </w:pPr>
            <w:r w:rsidRPr="009B2D5C">
              <w:rPr>
                <w:rFonts w:ascii="Times New Roman" w:eastAsia="Times New Roman" w:hAnsi="Times New Roman" w:cs="Times New Roman"/>
                <w:sz w:val="16"/>
                <w:szCs w:val="16"/>
                <w:lang w:eastAsia="ru-RU"/>
              </w:rPr>
              <w:t>Рис. 21. Динамика потребления электрической</w:t>
            </w:r>
            <w:r>
              <w:rPr>
                <w:rFonts w:ascii="Times New Roman" w:eastAsia="Times New Roman" w:hAnsi="Times New Roman" w:cs="Times New Roman"/>
                <w:sz w:val="16"/>
                <w:szCs w:val="16"/>
                <w:lang w:eastAsia="ru-RU"/>
              </w:rPr>
              <w:t xml:space="preserve"> энергии в Республике Татарстан </w:t>
            </w:r>
            <w:r w:rsidRPr="009B2D5C">
              <w:rPr>
                <w:rFonts w:ascii="Times New Roman" w:eastAsia="Times New Roman" w:hAnsi="Times New Roman" w:cs="Times New Roman"/>
                <w:sz w:val="16"/>
                <w:szCs w:val="16"/>
                <w:lang w:eastAsia="ru-RU"/>
              </w:rPr>
              <w:t>в 2014 и 2018 годах</w:t>
            </w:r>
          </w:p>
          <w:p w:rsidR="00C15E51" w:rsidRPr="00D423B2" w:rsidRDefault="00C15E51" w:rsidP="00DD46E6">
            <w:pPr>
              <w:autoSpaceDE w:val="0"/>
              <w:autoSpaceDN w:val="0"/>
              <w:adjustRightInd w:val="0"/>
              <w:ind w:firstLine="709"/>
              <w:jc w:val="both"/>
              <w:rPr>
                <w:rFonts w:ascii="Times New Roman" w:eastAsia="Times New Roman" w:hAnsi="Times New Roman" w:cs="Times New Roman"/>
                <w:sz w:val="24"/>
                <w:szCs w:val="24"/>
                <w:lang w:eastAsia="ru-RU"/>
              </w:rPr>
            </w:pPr>
          </w:p>
          <w:p w:rsidR="00912B10" w:rsidRPr="00D423B2" w:rsidRDefault="00D13C51" w:rsidP="00337FDC">
            <w:pPr>
              <w:tabs>
                <w:tab w:val="left" w:pos="1140"/>
              </w:tabs>
              <w:ind w:hanging="142"/>
              <w:jc w:val="center"/>
              <w:rPr>
                <w:rFonts w:ascii="Times New Roman" w:eastAsia="Times New Roman" w:hAnsi="Times New Roman" w:cs="Times New Roman"/>
                <w:bCs/>
                <w:iCs/>
                <w:sz w:val="24"/>
                <w:szCs w:val="24"/>
                <w:lang w:eastAsia="ru-RU"/>
              </w:rPr>
            </w:pPr>
            <w:r w:rsidRPr="00D423B2">
              <w:rPr>
                <w:noProof/>
                <w:lang w:eastAsia="ru-RU"/>
              </w:rPr>
              <w:drawing>
                <wp:inline distT="0" distB="0" distL="0" distR="0" wp14:anchorId="05D7FB20" wp14:editId="49C9BA9D">
                  <wp:extent cx="2395090" cy="1181100"/>
                  <wp:effectExtent l="0" t="0" r="571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07619" cy="1187278"/>
                          </a:xfrm>
                          <a:prstGeom prst="rect">
                            <a:avLst/>
                          </a:prstGeom>
                          <a:noFill/>
                        </pic:spPr>
                      </pic:pic>
                    </a:graphicData>
                  </a:graphic>
                </wp:inline>
              </w:drawing>
            </w:r>
          </w:p>
          <w:p w:rsidR="00912B10" w:rsidRPr="00D423B2" w:rsidRDefault="00970487" w:rsidP="00970487">
            <w:pPr>
              <w:ind w:hanging="142"/>
              <w:jc w:val="center"/>
              <w:rPr>
                <w:rFonts w:ascii="Times New Roman" w:eastAsia="Times New Roman" w:hAnsi="Times New Roman" w:cs="Times New Roman"/>
                <w:bCs/>
                <w:iCs/>
                <w:sz w:val="24"/>
                <w:szCs w:val="24"/>
                <w:lang w:eastAsia="ru-RU"/>
              </w:rPr>
            </w:pPr>
            <w:r w:rsidRPr="00D423B2">
              <w:rPr>
                <w:noProof/>
                <w:lang w:eastAsia="ru-RU"/>
              </w:rPr>
              <w:drawing>
                <wp:inline distT="0" distB="0" distL="0" distR="0" wp14:anchorId="5B08F785" wp14:editId="020C8508">
                  <wp:extent cx="2354698" cy="1275715"/>
                  <wp:effectExtent l="0" t="0" r="7620" b="63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92604" cy="1296251"/>
                          </a:xfrm>
                          <a:prstGeom prst="rect">
                            <a:avLst/>
                          </a:prstGeom>
                          <a:noFill/>
                        </pic:spPr>
                      </pic:pic>
                    </a:graphicData>
                  </a:graphic>
                </wp:inline>
              </w:drawing>
            </w:r>
          </w:p>
          <w:p w:rsidR="00912B10" w:rsidRPr="00D423B2" w:rsidRDefault="00912B10" w:rsidP="00C66F7D">
            <w:pPr>
              <w:ind w:hanging="142"/>
              <w:jc w:val="both"/>
              <w:rPr>
                <w:rFonts w:ascii="Times New Roman" w:eastAsia="Times New Roman" w:hAnsi="Times New Roman" w:cs="Times New Roman"/>
                <w:bCs/>
                <w:iCs/>
                <w:sz w:val="24"/>
                <w:szCs w:val="24"/>
                <w:lang w:eastAsia="ru-RU"/>
              </w:rPr>
            </w:pPr>
          </w:p>
          <w:p w:rsidR="00DF0316" w:rsidRPr="00DF0316" w:rsidRDefault="00DF0316" w:rsidP="00DF0316">
            <w:pPr>
              <w:autoSpaceDE w:val="0"/>
              <w:autoSpaceDN w:val="0"/>
              <w:adjustRightInd w:val="0"/>
              <w:jc w:val="center"/>
              <w:rPr>
                <w:rFonts w:ascii="Times New Roman" w:eastAsia="Times New Roman" w:hAnsi="Times New Roman" w:cs="Times New Roman"/>
                <w:sz w:val="16"/>
                <w:szCs w:val="16"/>
                <w:lang w:eastAsia="ru-RU"/>
              </w:rPr>
            </w:pPr>
            <w:r w:rsidRPr="00DF0316">
              <w:rPr>
                <w:rFonts w:ascii="Times New Roman" w:eastAsia="Times New Roman" w:hAnsi="Times New Roman" w:cs="Times New Roman"/>
                <w:sz w:val="16"/>
                <w:szCs w:val="16"/>
                <w:lang w:eastAsia="ru-RU"/>
              </w:rPr>
              <w:t>Рис. 22. Структура потребления электроэнергии в Республике Татарстан в 2014 и 2018 годах</w:t>
            </w:r>
          </w:p>
          <w:p w:rsidR="00D855D1" w:rsidRPr="00D423B2" w:rsidRDefault="00D855D1" w:rsidP="00970487">
            <w:pPr>
              <w:autoSpaceDE w:val="0"/>
              <w:autoSpaceDN w:val="0"/>
              <w:adjustRightInd w:val="0"/>
              <w:jc w:val="center"/>
              <w:rPr>
                <w:rFonts w:ascii="Times New Roman" w:eastAsia="Times New Roman" w:hAnsi="Times New Roman" w:cs="Times New Roman"/>
                <w:sz w:val="16"/>
                <w:szCs w:val="16"/>
                <w:lang w:eastAsia="ru-RU"/>
              </w:rPr>
            </w:pPr>
          </w:p>
          <w:p w:rsidR="00D855D1" w:rsidRDefault="00DF0316" w:rsidP="00CC2E3D">
            <w:pPr>
              <w:ind w:firstLine="708"/>
              <w:jc w:val="both"/>
              <w:rPr>
                <w:rFonts w:ascii="Times New Roman" w:eastAsia="Times New Roman" w:hAnsi="Times New Roman" w:cs="Times New Roman"/>
                <w:sz w:val="24"/>
                <w:szCs w:val="24"/>
                <w:lang w:eastAsia="ru-RU"/>
              </w:rPr>
            </w:pPr>
            <w:r w:rsidRPr="00DF0316">
              <w:rPr>
                <w:rFonts w:ascii="Times New Roman" w:eastAsia="Times New Roman" w:hAnsi="Times New Roman" w:cs="Times New Roman"/>
                <w:sz w:val="24"/>
                <w:szCs w:val="24"/>
                <w:lang w:eastAsia="ru-RU"/>
              </w:rPr>
              <w:t>В Республике Татарстан отпуск тепловой энергии, производимой на электростанциях в режиме комбинированной выработки, по итогам 2018 года составил 35,4 млн Гкал с ростом относительно 2013 года на 9,3 процента. В целом, по информации Татарстанстата, производство пара и горячей воды в Республике Татарстан составило 57,1 млн Гкал, что на 8,1 процента выше уровня 2013 года.</w:t>
            </w:r>
          </w:p>
          <w:p w:rsidR="00CC2E3D" w:rsidRPr="00D423B2" w:rsidRDefault="00CC2E3D" w:rsidP="00CC2E3D">
            <w:pPr>
              <w:ind w:firstLine="708"/>
              <w:jc w:val="both"/>
              <w:rPr>
                <w:rFonts w:ascii="Times New Roman" w:eastAsia="Times New Roman" w:hAnsi="Times New Roman" w:cs="Times New Roman"/>
                <w:sz w:val="24"/>
                <w:szCs w:val="24"/>
                <w:lang w:eastAsia="ru-RU"/>
              </w:rPr>
            </w:pPr>
          </w:p>
          <w:p w:rsidR="00912B10" w:rsidRPr="00D423B2" w:rsidRDefault="00230DED" w:rsidP="00230DED">
            <w:pPr>
              <w:ind w:hanging="142"/>
              <w:jc w:val="center"/>
              <w:rPr>
                <w:rFonts w:ascii="Times New Roman" w:eastAsia="Times New Roman" w:hAnsi="Times New Roman" w:cs="Times New Roman"/>
                <w:bCs/>
                <w:iCs/>
                <w:sz w:val="24"/>
                <w:szCs w:val="24"/>
                <w:lang w:eastAsia="ru-RU"/>
              </w:rPr>
            </w:pPr>
            <w:r w:rsidRPr="00D423B2">
              <w:rPr>
                <w:rFonts w:ascii="Times New Roman" w:eastAsia="Times New Roman" w:hAnsi="Times New Roman" w:cs="Times New Roman"/>
                <w:bCs/>
                <w:iCs/>
                <w:noProof/>
                <w:sz w:val="24"/>
                <w:szCs w:val="24"/>
                <w:lang w:eastAsia="ru-RU"/>
              </w:rPr>
              <w:drawing>
                <wp:inline distT="0" distB="0" distL="0" distR="0" wp14:anchorId="355843F9" wp14:editId="1634668D">
                  <wp:extent cx="2219325" cy="959485"/>
                  <wp:effectExtent l="0" t="0" r="952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43390" cy="969889"/>
                          </a:xfrm>
                          <a:prstGeom prst="rect">
                            <a:avLst/>
                          </a:prstGeom>
                          <a:noFill/>
                        </pic:spPr>
                      </pic:pic>
                    </a:graphicData>
                  </a:graphic>
                </wp:inline>
              </w:drawing>
            </w:r>
          </w:p>
          <w:p w:rsidR="00230DED" w:rsidRPr="00D423B2" w:rsidRDefault="00230DED" w:rsidP="00FA58D8">
            <w:pPr>
              <w:autoSpaceDE w:val="0"/>
              <w:autoSpaceDN w:val="0"/>
              <w:adjustRightInd w:val="0"/>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Рис.24. Динамика отпуска тепловой энергии</w:t>
            </w:r>
          </w:p>
          <w:p w:rsidR="00230DED" w:rsidRPr="00D423B2" w:rsidRDefault="00230DED" w:rsidP="00230DED">
            <w:pPr>
              <w:autoSpaceDE w:val="0"/>
              <w:autoSpaceDN w:val="0"/>
              <w:adjustRightInd w:val="0"/>
              <w:rPr>
                <w:rFonts w:ascii="Times New Roman" w:eastAsia="Times New Roman" w:hAnsi="Times New Roman" w:cs="Times New Roman"/>
                <w:sz w:val="28"/>
                <w:szCs w:val="28"/>
                <w:lang w:eastAsia="ru-RU"/>
              </w:rPr>
            </w:pPr>
          </w:p>
          <w:p w:rsidR="00E121A0" w:rsidRPr="003E7C81" w:rsidRDefault="003E7C81" w:rsidP="003E7C81">
            <w:pPr>
              <w:pStyle w:val="ConsPlusTitle"/>
              <w:ind w:firstLine="709"/>
              <w:jc w:val="both"/>
              <w:outlineLvl w:val="3"/>
              <w:rPr>
                <w:rFonts w:ascii="Times New Roman" w:hAnsi="Times New Roman" w:cs="Times New Roman"/>
                <w:b w:val="0"/>
                <w:sz w:val="24"/>
                <w:szCs w:val="24"/>
              </w:rPr>
            </w:pPr>
            <w:r w:rsidRPr="003E7C81">
              <w:rPr>
                <w:rFonts w:ascii="Times New Roman" w:hAnsi="Times New Roman" w:cs="Times New Roman"/>
                <w:b w:val="0"/>
                <w:sz w:val="24"/>
                <w:szCs w:val="24"/>
              </w:rPr>
              <w:t>4.1.2. Прогноз производст</w:t>
            </w:r>
            <w:r>
              <w:rPr>
                <w:rFonts w:ascii="Times New Roman" w:hAnsi="Times New Roman" w:cs="Times New Roman"/>
                <w:b w:val="0"/>
                <w:sz w:val="24"/>
                <w:szCs w:val="24"/>
              </w:rPr>
              <w:t xml:space="preserve">ва и </w:t>
            </w:r>
            <w:r w:rsidRPr="003E7C81">
              <w:rPr>
                <w:rFonts w:ascii="Times New Roman" w:hAnsi="Times New Roman" w:cs="Times New Roman"/>
                <w:b w:val="0"/>
                <w:sz w:val="24"/>
                <w:szCs w:val="24"/>
              </w:rPr>
              <w:t>потребления электрической и тепловой энергии</w:t>
            </w:r>
          </w:p>
          <w:p w:rsidR="00CC7C28" w:rsidRPr="00CC7C28" w:rsidRDefault="00CC7C28" w:rsidP="00CC7C28">
            <w:pPr>
              <w:autoSpaceDE w:val="0"/>
              <w:autoSpaceDN w:val="0"/>
              <w:adjustRightInd w:val="0"/>
              <w:spacing w:before="2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CC7C28">
              <w:rPr>
                <w:rFonts w:ascii="Times New Roman" w:eastAsia="Times New Roman" w:hAnsi="Times New Roman" w:cs="Times New Roman"/>
                <w:sz w:val="24"/>
                <w:szCs w:val="24"/>
                <w:lang w:eastAsia="ru-RU"/>
              </w:rPr>
              <w:t xml:space="preserve">В связи с развитием промышленного производства Республики Татарстан рост потребления электрической энергии планируется и в последующие годы: </w:t>
            </w:r>
            <w:r w:rsidRPr="00CC7C28">
              <w:rPr>
                <w:rFonts w:ascii="Times New Roman" w:eastAsia="Times New Roman" w:hAnsi="Times New Roman" w:cs="Times New Roman"/>
                <w:sz w:val="24"/>
                <w:szCs w:val="24"/>
                <w:lang w:eastAsia="ru-RU"/>
              </w:rPr>
              <w:br/>
              <w:t xml:space="preserve">в 2020 году – на 6,7 процента по сравнению с 2017 годом, в 2025 году – </w:t>
            </w:r>
            <w:r w:rsidRPr="00CC7C28">
              <w:rPr>
                <w:rFonts w:ascii="Times New Roman" w:eastAsia="Times New Roman" w:hAnsi="Times New Roman" w:cs="Times New Roman"/>
                <w:sz w:val="24"/>
                <w:szCs w:val="24"/>
                <w:lang w:eastAsia="ru-RU"/>
              </w:rPr>
              <w:br/>
              <w:t>на 15,4 процента, в 2030 году – на 20,5 процента. Соответственно, будут расти и пиковые нагрузки энергосистемы (4 748 МВт к 2030 году, что на 425 МВт выше показателя 2017 года).</w:t>
            </w:r>
          </w:p>
          <w:p w:rsidR="008F0269" w:rsidRPr="00D423B2" w:rsidRDefault="008F0269" w:rsidP="00F76C45">
            <w:pPr>
              <w:autoSpaceDE w:val="0"/>
              <w:autoSpaceDN w:val="0"/>
              <w:adjustRightInd w:val="0"/>
              <w:spacing w:before="220"/>
              <w:jc w:val="both"/>
              <w:rPr>
                <w:rFonts w:ascii="Times New Roman" w:eastAsia="Times New Roman" w:hAnsi="Times New Roman" w:cs="Times New Roman"/>
                <w:sz w:val="24"/>
                <w:szCs w:val="24"/>
                <w:lang w:eastAsia="ru-RU"/>
              </w:rPr>
            </w:pPr>
            <w:r w:rsidRPr="00D423B2">
              <w:rPr>
                <w:noProof/>
                <w:lang w:eastAsia="ru-RU"/>
              </w:rPr>
              <w:drawing>
                <wp:inline distT="0" distB="0" distL="0" distR="0" wp14:anchorId="734EF773" wp14:editId="3777FAE0">
                  <wp:extent cx="2997200" cy="110781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33076" cy="1121070"/>
                          </a:xfrm>
                          <a:prstGeom prst="rect">
                            <a:avLst/>
                          </a:prstGeom>
                          <a:noFill/>
                        </pic:spPr>
                      </pic:pic>
                    </a:graphicData>
                  </a:graphic>
                </wp:inline>
              </w:drawing>
            </w:r>
          </w:p>
          <w:p w:rsidR="00F76C45" w:rsidRPr="00D423B2" w:rsidRDefault="00F76C45" w:rsidP="00F76C45">
            <w:pPr>
              <w:autoSpaceDE w:val="0"/>
              <w:autoSpaceDN w:val="0"/>
              <w:adjustRightInd w:val="0"/>
              <w:ind w:firstLine="709"/>
              <w:jc w:val="center"/>
              <w:outlineLvl w:val="3"/>
              <w:rPr>
                <w:rFonts w:ascii="Times New Roman" w:eastAsia="Times New Roman" w:hAnsi="Times New Roman" w:cs="Times New Roman"/>
                <w:sz w:val="28"/>
                <w:szCs w:val="28"/>
                <w:lang w:eastAsia="ru-RU"/>
              </w:rPr>
            </w:pPr>
          </w:p>
          <w:p w:rsidR="00B930E2" w:rsidRPr="00B930E2" w:rsidRDefault="00B930E2" w:rsidP="00B930E2">
            <w:pPr>
              <w:autoSpaceDE w:val="0"/>
              <w:autoSpaceDN w:val="0"/>
              <w:adjustRightInd w:val="0"/>
              <w:jc w:val="center"/>
              <w:rPr>
                <w:rFonts w:ascii="Times New Roman" w:eastAsia="Times New Roman" w:hAnsi="Times New Roman" w:cs="Times New Roman"/>
                <w:sz w:val="16"/>
                <w:szCs w:val="16"/>
                <w:lang w:eastAsia="ru-RU"/>
              </w:rPr>
            </w:pPr>
            <w:r w:rsidRPr="00B930E2">
              <w:rPr>
                <w:rFonts w:ascii="Times New Roman" w:eastAsia="Times New Roman" w:hAnsi="Times New Roman" w:cs="Times New Roman"/>
                <w:sz w:val="16"/>
                <w:szCs w:val="16"/>
                <w:lang w:eastAsia="ru-RU"/>
              </w:rPr>
              <w:t xml:space="preserve">Рис. 24. Прогноз динамики потребления электрической энергии в Республике Татарстан </w:t>
            </w:r>
          </w:p>
          <w:p w:rsidR="008664A7" w:rsidRPr="00D423B2" w:rsidRDefault="008664A7" w:rsidP="00655F4E">
            <w:pPr>
              <w:autoSpaceDE w:val="0"/>
              <w:autoSpaceDN w:val="0"/>
              <w:adjustRightInd w:val="0"/>
              <w:jc w:val="center"/>
              <w:rPr>
                <w:rFonts w:ascii="Times New Roman" w:eastAsia="Times New Roman" w:hAnsi="Times New Roman" w:cs="Times New Roman"/>
                <w:sz w:val="24"/>
                <w:szCs w:val="24"/>
                <w:lang w:eastAsia="ru-RU"/>
              </w:rPr>
            </w:pPr>
          </w:p>
          <w:p w:rsidR="008664A7" w:rsidRPr="00D423B2" w:rsidRDefault="008664A7" w:rsidP="00655F4E">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10E04635" wp14:editId="06F22923">
                  <wp:extent cx="2885440" cy="1064117"/>
                  <wp:effectExtent l="0" t="0" r="0" b="317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01869" cy="1070176"/>
                          </a:xfrm>
                          <a:prstGeom prst="rect">
                            <a:avLst/>
                          </a:prstGeom>
                          <a:noFill/>
                        </pic:spPr>
                      </pic:pic>
                    </a:graphicData>
                  </a:graphic>
                </wp:inline>
              </w:drawing>
            </w:r>
          </w:p>
          <w:p w:rsidR="00E121A0" w:rsidRPr="00D423B2" w:rsidRDefault="00E121A0" w:rsidP="00C66F7D">
            <w:pPr>
              <w:ind w:hanging="142"/>
              <w:jc w:val="both"/>
              <w:rPr>
                <w:rFonts w:ascii="Times New Roman" w:eastAsia="Times New Roman" w:hAnsi="Times New Roman" w:cs="Times New Roman"/>
                <w:bCs/>
                <w:iCs/>
                <w:sz w:val="24"/>
                <w:szCs w:val="24"/>
                <w:lang w:eastAsia="ru-RU"/>
              </w:rPr>
            </w:pPr>
          </w:p>
          <w:p w:rsidR="00E121A0" w:rsidRPr="00D423B2" w:rsidRDefault="00E121A0" w:rsidP="00C66F7D">
            <w:pPr>
              <w:ind w:hanging="142"/>
              <w:jc w:val="both"/>
              <w:rPr>
                <w:rFonts w:ascii="Times New Roman" w:eastAsia="Times New Roman" w:hAnsi="Times New Roman" w:cs="Times New Roman"/>
                <w:bCs/>
                <w:iCs/>
                <w:sz w:val="24"/>
                <w:szCs w:val="24"/>
                <w:lang w:eastAsia="ru-RU"/>
              </w:rPr>
            </w:pPr>
          </w:p>
          <w:p w:rsidR="000154D2" w:rsidRPr="000154D2" w:rsidRDefault="000154D2" w:rsidP="000154D2">
            <w:pPr>
              <w:autoSpaceDE w:val="0"/>
              <w:autoSpaceDN w:val="0"/>
              <w:adjustRightInd w:val="0"/>
              <w:jc w:val="center"/>
              <w:rPr>
                <w:rFonts w:ascii="Times New Roman" w:eastAsia="Times New Roman" w:hAnsi="Times New Roman" w:cs="Times New Roman"/>
                <w:sz w:val="16"/>
                <w:szCs w:val="16"/>
                <w:lang w:eastAsia="ru-RU"/>
              </w:rPr>
            </w:pPr>
            <w:r w:rsidRPr="000154D2">
              <w:rPr>
                <w:rFonts w:ascii="Times New Roman" w:eastAsia="Times New Roman" w:hAnsi="Times New Roman" w:cs="Times New Roman"/>
                <w:sz w:val="16"/>
                <w:szCs w:val="16"/>
                <w:lang w:eastAsia="ru-RU"/>
              </w:rPr>
              <w:t>Рис. 25. Прогноз динамики годовых пиковых нагрузок в Республике Татарстан</w:t>
            </w:r>
          </w:p>
          <w:p w:rsidR="005E1848" w:rsidRPr="00D423B2" w:rsidRDefault="005E1848" w:rsidP="005E1848">
            <w:pPr>
              <w:autoSpaceDE w:val="0"/>
              <w:autoSpaceDN w:val="0"/>
              <w:adjustRightInd w:val="0"/>
              <w:ind w:firstLine="540"/>
              <w:jc w:val="both"/>
              <w:rPr>
                <w:rFonts w:ascii="Times New Roman" w:eastAsia="Times New Roman" w:hAnsi="Times New Roman" w:cs="Times New Roman"/>
                <w:sz w:val="16"/>
                <w:szCs w:val="16"/>
                <w:lang w:eastAsia="ru-RU"/>
              </w:rPr>
            </w:pPr>
          </w:p>
          <w:p w:rsidR="00060C8E" w:rsidRPr="00060C8E" w:rsidRDefault="00060C8E" w:rsidP="00060C8E">
            <w:pPr>
              <w:autoSpaceDE w:val="0"/>
              <w:autoSpaceDN w:val="0"/>
              <w:adjustRightInd w:val="0"/>
              <w:ind w:firstLine="709"/>
              <w:jc w:val="both"/>
              <w:rPr>
                <w:rFonts w:ascii="Times New Roman" w:eastAsia="Times New Roman" w:hAnsi="Times New Roman" w:cs="Times New Roman"/>
                <w:sz w:val="24"/>
                <w:szCs w:val="24"/>
                <w:lang w:eastAsia="ru-RU"/>
              </w:rPr>
            </w:pPr>
            <w:r w:rsidRPr="00060C8E">
              <w:rPr>
                <w:rFonts w:ascii="Times New Roman" w:eastAsia="Times New Roman" w:hAnsi="Times New Roman" w:cs="Times New Roman"/>
                <w:sz w:val="24"/>
                <w:szCs w:val="24"/>
                <w:lang w:eastAsia="ru-RU"/>
              </w:rPr>
              <w:t>В связи с ежегодным наращиванием темпов развития и, как следствие, увеличением потребления электрической энергии и мощности потребителями, Республике Татарстан необходимо увеличение производства энергоресурсов.</w:t>
            </w:r>
          </w:p>
          <w:p w:rsidR="005E1848" w:rsidRPr="00D423B2" w:rsidRDefault="005E1848" w:rsidP="005E1848">
            <w:pPr>
              <w:autoSpaceDE w:val="0"/>
              <w:autoSpaceDN w:val="0"/>
              <w:adjustRightInd w:val="0"/>
              <w:ind w:firstLine="709"/>
              <w:jc w:val="both"/>
              <w:rPr>
                <w:rFonts w:ascii="Times New Roman" w:eastAsia="Times New Roman" w:hAnsi="Times New Roman" w:cs="Times New Roman"/>
                <w:sz w:val="24"/>
                <w:szCs w:val="24"/>
                <w:lang w:eastAsia="ru-RU"/>
              </w:rPr>
            </w:pPr>
          </w:p>
          <w:p w:rsidR="005E1848" w:rsidRPr="00D423B2" w:rsidRDefault="005E1848" w:rsidP="005E1848">
            <w:pPr>
              <w:autoSpaceDE w:val="0"/>
              <w:autoSpaceDN w:val="0"/>
              <w:adjustRightInd w:val="0"/>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1320DAF1" wp14:editId="6E7BFE01">
                  <wp:extent cx="2618740" cy="936246"/>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49119" cy="947107"/>
                          </a:xfrm>
                          <a:prstGeom prst="rect">
                            <a:avLst/>
                          </a:prstGeom>
                          <a:noFill/>
                        </pic:spPr>
                      </pic:pic>
                    </a:graphicData>
                  </a:graphic>
                </wp:inline>
              </w:drawing>
            </w:r>
          </w:p>
          <w:p w:rsidR="00E121A0" w:rsidRPr="00D423B2" w:rsidRDefault="00E121A0" w:rsidP="00C66F7D">
            <w:pPr>
              <w:ind w:hanging="142"/>
              <w:jc w:val="both"/>
              <w:rPr>
                <w:rFonts w:ascii="Times New Roman" w:eastAsia="Times New Roman" w:hAnsi="Times New Roman" w:cs="Times New Roman"/>
                <w:bCs/>
                <w:iCs/>
                <w:sz w:val="24"/>
                <w:szCs w:val="24"/>
                <w:lang w:eastAsia="ru-RU"/>
              </w:rPr>
            </w:pPr>
          </w:p>
          <w:p w:rsidR="00B70D59" w:rsidRPr="00B70D59" w:rsidRDefault="00B70D59" w:rsidP="00B70D59">
            <w:pPr>
              <w:autoSpaceDE w:val="0"/>
              <w:autoSpaceDN w:val="0"/>
              <w:adjustRightInd w:val="0"/>
              <w:jc w:val="center"/>
              <w:outlineLvl w:val="2"/>
              <w:rPr>
                <w:rFonts w:ascii="Times New Roman" w:hAnsi="Times New Roman" w:cs="Times New Roman"/>
                <w:sz w:val="16"/>
                <w:szCs w:val="16"/>
              </w:rPr>
            </w:pPr>
            <w:r w:rsidRPr="00B70D59">
              <w:rPr>
                <w:rFonts w:ascii="Times New Roman" w:hAnsi="Times New Roman" w:cs="Times New Roman"/>
                <w:sz w:val="16"/>
                <w:szCs w:val="16"/>
              </w:rPr>
              <w:t xml:space="preserve">Рис. 26. Прогноз выработки электростанциями электрической энергии </w:t>
            </w:r>
          </w:p>
          <w:p w:rsidR="005E1848" w:rsidRPr="00D423B2" w:rsidRDefault="005E1848" w:rsidP="005E1848">
            <w:pPr>
              <w:autoSpaceDE w:val="0"/>
              <w:autoSpaceDN w:val="0"/>
              <w:adjustRightInd w:val="0"/>
              <w:jc w:val="center"/>
              <w:outlineLvl w:val="2"/>
              <w:rPr>
                <w:rFonts w:ascii="Times New Roman" w:hAnsi="Times New Roman" w:cs="Times New Roman"/>
                <w:sz w:val="16"/>
                <w:szCs w:val="16"/>
              </w:rPr>
            </w:pPr>
          </w:p>
          <w:p w:rsidR="00B70D59" w:rsidRDefault="00B70D59" w:rsidP="000C451D">
            <w:pPr>
              <w:autoSpaceDE w:val="0"/>
              <w:autoSpaceDN w:val="0"/>
              <w:adjustRightInd w:val="0"/>
              <w:jc w:val="center"/>
              <w:rPr>
                <w:rFonts w:ascii="Times New Roman" w:eastAsia="Times New Roman" w:hAnsi="Times New Roman" w:cs="Times New Roman"/>
                <w:sz w:val="16"/>
                <w:szCs w:val="16"/>
                <w:lang w:eastAsia="ru-RU"/>
              </w:rPr>
            </w:pPr>
            <w:r>
              <w:rPr>
                <w:rFonts w:ascii="Times New Roman" w:eastAsia="Times New Roman" w:hAnsi="Times New Roman" w:cs="Times New Roman"/>
                <w:noProof/>
                <w:sz w:val="16"/>
                <w:szCs w:val="16"/>
                <w:lang w:eastAsia="ru-RU"/>
              </w:rPr>
              <w:drawing>
                <wp:inline distT="0" distB="0" distL="0" distR="0" wp14:anchorId="20B03152">
                  <wp:extent cx="2676525" cy="1048385"/>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76525" cy="1048385"/>
                          </a:xfrm>
                          <a:prstGeom prst="rect">
                            <a:avLst/>
                          </a:prstGeom>
                          <a:noFill/>
                        </pic:spPr>
                      </pic:pic>
                    </a:graphicData>
                  </a:graphic>
                </wp:inline>
              </w:drawing>
            </w:r>
          </w:p>
          <w:p w:rsidR="00B70D59" w:rsidRDefault="00B70D59" w:rsidP="000C451D">
            <w:pPr>
              <w:autoSpaceDE w:val="0"/>
              <w:autoSpaceDN w:val="0"/>
              <w:adjustRightInd w:val="0"/>
              <w:jc w:val="center"/>
              <w:rPr>
                <w:rFonts w:ascii="Times New Roman" w:eastAsia="Times New Roman" w:hAnsi="Times New Roman" w:cs="Times New Roman"/>
                <w:sz w:val="16"/>
                <w:szCs w:val="16"/>
                <w:lang w:eastAsia="ru-RU"/>
              </w:rPr>
            </w:pPr>
          </w:p>
          <w:p w:rsidR="00A021AD" w:rsidRPr="00A021AD" w:rsidRDefault="00A021AD" w:rsidP="00A021AD">
            <w:pPr>
              <w:autoSpaceDE w:val="0"/>
              <w:autoSpaceDN w:val="0"/>
              <w:adjustRightInd w:val="0"/>
              <w:jc w:val="center"/>
              <w:rPr>
                <w:rFonts w:ascii="Times New Roman" w:eastAsia="Times New Roman" w:hAnsi="Times New Roman" w:cs="Times New Roman"/>
                <w:sz w:val="16"/>
                <w:szCs w:val="16"/>
                <w:lang w:eastAsia="ru-RU"/>
              </w:rPr>
            </w:pPr>
            <w:r w:rsidRPr="00A021AD">
              <w:rPr>
                <w:rFonts w:ascii="Times New Roman" w:eastAsia="Times New Roman" w:hAnsi="Times New Roman" w:cs="Times New Roman"/>
                <w:sz w:val="16"/>
                <w:szCs w:val="16"/>
                <w:lang w:eastAsia="ru-RU"/>
              </w:rPr>
              <w:t>Рис. 27. Прогноз отпуска тепловой энергии</w:t>
            </w:r>
          </w:p>
          <w:p w:rsidR="000C451D" w:rsidRPr="00D423B2" w:rsidRDefault="000C451D" w:rsidP="000C451D">
            <w:pPr>
              <w:autoSpaceDE w:val="0"/>
              <w:autoSpaceDN w:val="0"/>
              <w:adjustRightInd w:val="0"/>
              <w:ind w:firstLine="709"/>
              <w:jc w:val="both"/>
              <w:rPr>
                <w:rFonts w:ascii="Times New Roman" w:eastAsia="Times New Roman" w:hAnsi="Times New Roman" w:cs="Times New Roman"/>
                <w:sz w:val="24"/>
                <w:szCs w:val="24"/>
                <w:lang w:eastAsia="ru-RU"/>
              </w:rPr>
            </w:pPr>
          </w:p>
          <w:p w:rsidR="00A00F54" w:rsidRPr="00A00F54" w:rsidRDefault="00A00F54" w:rsidP="00A00F54">
            <w:pPr>
              <w:autoSpaceDE w:val="0"/>
              <w:autoSpaceDN w:val="0"/>
              <w:adjustRightInd w:val="0"/>
              <w:ind w:firstLine="709"/>
              <w:jc w:val="both"/>
              <w:rPr>
                <w:rFonts w:ascii="Times New Roman" w:eastAsia="Times New Roman" w:hAnsi="Times New Roman" w:cs="Times New Roman"/>
                <w:sz w:val="24"/>
                <w:szCs w:val="24"/>
                <w:lang w:eastAsia="ru-RU"/>
              </w:rPr>
            </w:pPr>
            <w:r w:rsidRPr="00A00F54">
              <w:rPr>
                <w:rFonts w:ascii="Times New Roman" w:eastAsia="Times New Roman" w:hAnsi="Times New Roman" w:cs="Times New Roman"/>
                <w:sz w:val="24"/>
                <w:szCs w:val="24"/>
                <w:lang w:eastAsia="ru-RU"/>
              </w:rPr>
              <w:t>Несмотря на рост объемов производства в промышленности, уровень отпуска тепловой энергии потребителям растет незначительно, что связано с широкомасштабным внедрением мероприятий по энергосбережению крупными промышленными предприятиями. В перспективе необходимо увеличивать долю производства тепловой энергии в режиме комбинированной выработки.</w:t>
            </w:r>
          </w:p>
          <w:p w:rsidR="00D7652C" w:rsidRPr="00D423B2" w:rsidRDefault="00D7652C" w:rsidP="00D7652C">
            <w:pPr>
              <w:jc w:val="center"/>
              <w:rPr>
                <w:rFonts w:ascii="Times New Roman" w:eastAsia="Times New Roman" w:hAnsi="Times New Roman" w:cs="Times New Roman"/>
                <w:b/>
                <w:sz w:val="28"/>
                <w:szCs w:val="28"/>
                <w:lang w:eastAsia="ru-RU"/>
              </w:rPr>
            </w:pPr>
          </w:p>
          <w:p w:rsidR="00D7652C" w:rsidRPr="00D423B2" w:rsidRDefault="00D7652C" w:rsidP="00D7652C">
            <w:pPr>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4.2. Основные направления развития энергосистемы Республики Татарстан</w:t>
            </w:r>
          </w:p>
          <w:p w:rsidR="00C57323" w:rsidRPr="00C57323" w:rsidRDefault="00C57323" w:rsidP="00C57323">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Стратегическими целями развития энергетического комплекса Республики Татарстан являются:</w:t>
            </w:r>
          </w:p>
          <w:p w:rsidR="00C57323" w:rsidRPr="00C57323" w:rsidRDefault="00C57323" w:rsidP="00C57323">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сбалансированное развитие электроэнергетического комплекса, как одного из ключевых элементов экономики Республики Татарстан, а также обеспечение конкурентоспособности региональной экономики в целом, энергетической независимости и безопасности республики за счет производства необходимого количества энергии на объектах генерации энергосистемы Республики Татарстан по конкурентным ценам на основе применения новых технологий, высокого качества и высокого уровня надежности энергоснабжения потребителей;</w:t>
            </w:r>
          </w:p>
          <w:p w:rsidR="00C57323" w:rsidRPr="00C57323" w:rsidRDefault="00C57323" w:rsidP="00C57323">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повышение конкурентоспособности и обеспечение устойчивого развития энергетической отрасли на базе новых современных технологий;</w:t>
            </w:r>
          </w:p>
          <w:p w:rsidR="00C57323" w:rsidRPr="00C57323" w:rsidRDefault="00C57323" w:rsidP="00C57323">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обеспечение надежного и качественного энергоснабжения потребителей Республики Татарстан;</w:t>
            </w:r>
          </w:p>
          <w:p w:rsidR="00C57323" w:rsidRPr="00C57323" w:rsidRDefault="00C57323" w:rsidP="00C57323">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обеспечение доступности и оперативности технологического присоединения;</w:t>
            </w:r>
          </w:p>
          <w:p w:rsidR="00C57323" w:rsidRPr="00C57323" w:rsidRDefault="00C57323" w:rsidP="00C57323">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повышение качества обслуживания потребителей;</w:t>
            </w:r>
          </w:p>
          <w:p w:rsidR="00C57323" w:rsidRPr="00C57323" w:rsidRDefault="00C57323" w:rsidP="00C57323">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снижение уровня негативного воздействия на окружающую среду.</w:t>
            </w:r>
          </w:p>
          <w:p w:rsidR="00C57323" w:rsidRPr="00C57323" w:rsidRDefault="00C57323" w:rsidP="00C57323">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Для реализации указанных целей первостепенное значение имеет модернизация производственных объектов энергосистемы.</w:t>
            </w:r>
          </w:p>
          <w:p w:rsidR="00C57323" w:rsidRPr="00C57323" w:rsidRDefault="00C57323" w:rsidP="00C57323">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Основные принципы модернизации энергосистемы Республики Татарстан:</w:t>
            </w:r>
          </w:p>
          <w:p w:rsidR="00C57323" w:rsidRPr="00C57323" w:rsidRDefault="00C57323" w:rsidP="00C57323">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ликвидация дефицита экономичной электрической мощности в республике;</w:t>
            </w:r>
          </w:p>
          <w:p w:rsidR="00C57323" w:rsidRPr="00C57323" w:rsidRDefault="00C57323" w:rsidP="00C57323">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приоритетный ввод объектов, обеспечивающих комбинированное производство электрической и тепловой энергии, снижение удельных расходов топлива, а также уменьшающих негативное воздействие на окружающую среду с вытеснением действующих газовых котельных в зону пиковых тепловых нагрузок;</w:t>
            </w:r>
          </w:p>
          <w:p w:rsidR="00C57323" w:rsidRPr="00C57323" w:rsidRDefault="00C57323" w:rsidP="00C57323">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обеспечение приоритета отпуска тепловой энергии от источников комбинированной выработки тепловой и электрической энергии;</w:t>
            </w:r>
          </w:p>
          <w:p w:rsidR="00C57323" w:rsidRPr="00C57323" w:rsidRDefault="00C57323" w:rsidP="00C57323">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повышение эффективности передачи тепловой энергии в системах централизованного теплоснабжения;</w:t>
            </w:r>
          </w:p>
          <w:p w:rsidR="00C57323" w:rsidRPr="00C57323" w:rsidRDefault="00C57323" w:rsidP="00C57323">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обеспечение конкурентоспособности электрической энергии и мощности на ОРЭМ;</w:t>
            </w:r>
          </w:p>
          <w:p w:rsidR="00C57323" w:rsidRPr="00C57323" w:rsidRDefault="00C57323" w:rsidP="00C57323">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 xml:space="preserve">экономически целесообразная для предприятий энергосистемы Республики Татарстан дифференциация используемых видов топлива; </w:t>
            </w:r>
          </w:p>
          <w:p w:rsidR="00C57323" w:rsidRPr="00C57323" w:rsidRDefault="00C57323" w:rsidP="00C57323">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обеспечение условий опережающего развития инфраструктуры электроснабжения городов и районов Республики Татарстан для создания возможности технологического присоединения к электрическим сетям.</w:t>
            </w:r>
          </w:p>
          <w:p w:rsidR="00D7652C" w:rsidRPr="00D423B2" w:rsidRDefault="00D7652C" w:rsidP="00D7652C">
            <w:pPr>
              <w:autoSpaceDE w:val="0"/>
              <w:autoSpaceDN w:val="0"/>
              <w:adjustRightInd w:val="0"/>
              <w:ind w:firstLine="709"/>
              <w:jc w:val="both"/>
              <w:rPr>
                <w:rFonts w:ascii="Times New Roman" w:eastAsia="Times New Roman" w:hAnsi="Times New Roman" w:cs="Times New Roman"/>
                <w:sz w:val="24"/>
                <w:szCs w:val="24"/>
                <w:lang w:eastAsia="ru-RU"/>
              </w:rPr>
            </w:pPr>
          </w:p>
          <w:p w:rsidR="00D7652C" w:rsidRPr="00D423B2" w:rsidRDefault="00D7652C" w:rsidP="00D7652C">
            <w:pPr>
              <w:autoSpaceDE w:val="0"/>
              <w:autoSpaceDN w:val="0"/>
              <w:adjustRightInd w:val="0"/>
              <w:ind w:firstLine="709"/>
              <w:jc w:val="both"/>
              <w:rPr>
                <w:rFonts w:ascii="Times New Roman" w:eastAsia="Times New Roman" w:hAnsi="Times New Roman" w:cs="Times New Roman"/>
                <w:sz w:val="24"/>
                <w:szCs w:val="24"/>
                <w:lang w:eastAsia="ru-RU"/>
              </w:rPr>
            </w:pPr>
          </w:p>
          <w:p w:rsidR="00D7652C" w:rsidRPr="00D423B2" w:rsidRDefault="00C02A10" w:rsidP="00D7652C">
            <w:pPr>
              <w:widowControl w:val="0"/>
              <w:autoSpaceDE w:val="0"/>
              <w:autoSpaceDN w:val="0"/>
              <w:ind w:firstLine="709"/>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4.2.1. Развитие генерирующих </w:t>
            </w:r>
            <w:r w:rsidR="00D7652C" w:rsidRPr="00D423B2">
              <w:rPr>
                <w:rFonts w:ascii="Times New Roman" w:eastAsia="Times New Roman" w:hAnsi="Times New Roman" w:cs="Times New Roman"/>
                <w:sz w:val="24"/>
                <w:szCs w:val="24"/>
                <w:lang w:eastAsia="ru-RU"/>
              </w:rPr>
              <w:t>мощностей</w:t>
            </w:r>
          </w:p>
          <w:p w:rsidR="00C02A10" w:rsidRDefault="00C02A10" w:rsidP="00D7652C">
            <w:pPr>
              <w:autoSpaceDE w:val="0"/>
              <w:autoSpaceDN w:val="0"/>
              <w:adjustRightInd w:val="0"/>
              <w:ind w:firstLine="709"/>
              <w:jc w:val="both"/>
              <w:rPr>
                <w:rFonts w:ascii="Times New Roman" w:eastAsia="Times New Roman" w:hAnsi="Times New Roman" w:cs="Times New Roman"/>
                <w:sz w:val="24"/>
                <w:szCs w:val="24"/>
                <w:lang w:eastAsia="ru-RU"/>
              </w:rPr>
            </w:pP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В целях повышения надежности энергоснабжения потребителей, обеспечения энергетической безопасности и самодостаточности Республики Татарстан, обновления генерирующих мощностей и электросетевого хозяйства предприятиями энергокомплекса выполнены и планируются к реализации проекты по вводу новых мощностей и реконструкции существующих.</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декабре 2014 года ОАО «Генерирующая компания» (АО «Татэнерго») завершено строительство парогазовой установки (далее – ПГУ) мощностью </w:t>
            </w:r>
            <w:r w:rsidRPr="00C02A10">
              <w:rPr>
                <w:rFonts w:ascii="Times New Roman" w:eastAsia="Times New Roman" w:hAnsi="Times New Roman" w:cs="Times New Roman"/>
                <w:sz w:val="24"/>
                <w:szCs w:val="24"/>
                <w:lang w:eastAsia="ru-RU"/>
              </w:rPr>
              <w:br/>
              <w:t>220 МВт на Казанской ТЭЦ-2.</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конце 2015 года на ООО «Нижнекамская ТЭЦ» был реализован проект по увеличению электрической мощности станции на 350 МВт.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В июле 2017 года ОАО «ТГК-16» завершены работы по реализации инвестиционного проекта «Модернизация Казанской ТЭЦ-3 на базе ГТУ», мощность которой по результатам аттестационных испытаний составила 394,4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августе 2018 года АО «Татэнерго» на Казанской ТЭЦ-1 завершено строительство двух ПГУ. Суммарная установленная мощность по результатам аттестационных испытаний составила 246 МВт.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планах ПАО «Казаньоргсинтез» к 2021 году намечено строительство </w:t>
            </w:r>
            <w:r w:rsidRPr="00C02A10">
              <w:rPr>
                <w:rFonts w:ascii="Times New Roman" w:eastAsia="Times New Roman" w:hAnsi="Times New Roman" w:cs="Times New Roman"/>
                <w:sz w:val="24"/>
                <w:szCs w:val="24"/>
                <w:lang w:eastAsia="ru-RU"/>
              </w:rPr>
              <w:br/>
              <w:t>ПГУ мощностью 250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случае принятия Правительством Российской Федерации решения, обеспечивающего возврат средств, вложенных в реализацию проектов по реконструкции (техническому перевооружению, модернизации) тепловых электрических станций, и включения данного объекта в указанную программу планируется к реализации проект «Строительство объекта ПГУ мощностью </w:t>
            </w:r>
            <w:r w:rsidRPr="00C02A10">
              <w:rPr>
                <w:rFonts w:ascii="Times New Roman" w:eastAsia="Times New Roman" w:hAnsi="Times New Roman" w:cs="Times New Roman"/>
                <w:sz w:val="24"/>
                <w:szCs w:val="24"/>
                <w:lang w:eastAsia="ru-RU"/>
              </w:rPr>
              <w:br/>
              <w:t>1600-1800 МВт на филиале АО «Татэнерго» Заинская ГРЭС» с замещающим выводом из эксплуатации 8 конденсационных блоков ГРЭС.</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В последующий после 2023 года период планируется частичное замещение паросиловых мощностей Набережночелнинской ТЭЦ на энергоустановки с использованием парогазовых технологий, а также увеличение рабочей мощности Нижнекамской ГЭС при поднятии уровня Нижнекамского водохранилища до проектной отметки 68 метров (для проекта по Нижнекамской ГЭС в случае принятия соответствующего решения Правительством Российской Федерации).</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планах АО «ТАИФ» к 2021 году намечено строительство ПГУ мощностью </w:t>
            </w:r>
            <w:r w:rsidRPr="00C02A10">
              <w:rPr>
                <w:rFonts w:ascii="Times New Roman" w:eastAsia="Times New Roman" w:hAnsi="Times New Roman" w:cs="Times New Roman"/>
                <w:sz w:val="24"/>
                <w:szCs w:val="24"/>
                <w:lang w:eastAsia="ru-RU"/>
              </w:rPr>
              <w:br/>
              <w:t>495 МВт для ПАО «Нижнекамскнефтехим».</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Кроме того, АО «ТАИФ» на генерирующих объектах АО «ТГК-16» планирует следующие проекты:</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строительство в 2022 – 2025 годах на Нижнекамской ТЭЦ ПТК-1 новой надстройки ГТУ SGT5 8000H (140+30ATA) мощностью 435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модернизация в 2023 – 2025 годах на Нижнекамской ТЭЦ ПТК-1 турбоагрегата ст. № 3 (ТГ-3) мощностью 102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Также в республике в 2022 году планируется строительство завода по термическому обезвреживанию твердых коммунальных отходов (ТКО) с выработкой в единую энергетическую систему (далее – ЕЭС) электрической мощности величиной 55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Рост объектов распределенной (розничной) генерации также предполагается за счет установки в котельных газотурбинного оборудования.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Рост выработки электроэнергии в республике также возможен за счет внедрения в котельных газотурбинного оборудования, обеспечивающего комбинированное производство электрической и тепловой энергии.</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настоящее время Республика Татарстан, являясь одним из лидирующих регионов ПФО и занимая активную позицию по вопросам развития объектов распределенной генерации, имеет положительный опыт в этом направлении.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частности, в Зеленодольском районе Республики Татарстан в 2014 году запущен крупнейший в России объект малой энергетики – энергоцентр «Майский», который представляет собой электростанцию электрической мощностью 23,12 МВт.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ОАО «Альметьевские тепловые сети» в 2016 году реализован проект по строительству малых электростанций на базе районных котельных с суммарной электрической мощностью 24 МВт.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Нижнекамском районе на площадке ПАО «Камаз» в 2018 году введены в эксплуатацию три мини-ТЭС «Энергетическое партнерство» на базе </w:t>
            </w:r>
            <w:r w:rsidRPr="00C02A10">
              <w:rPr>
                <w:rFonts w:ascii="Times New Roman" w:eastAsia="Times New Roman" w:hAnsi="Times New Roman" w:cs="Times New Roman"/>
                <w:sz w:val="24"/>
                <w:szCs w:val="24"/>
                <w:lang w:eastAsia="ru-RU"/>
              </w:rPr>
              <w:br/>
              <w:t>ГПУ электрической мощностью 4,168 МВт каждая.</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На территории </w:t>
            </w:r>
            <w:hyperlink r:id="rId65" w:tooltip="Елабужский район" w:history="1">
              <w:r w:rsidRPr="00C02A10">
                <w:rPr>
                  <w:rStyle w:val="a9"/>
                  <w:rFonts w:ascii="Times New Roman" w:eastAsia="Times New Roman" w:hAnsi="Times New Roman" w:cs="Times New Roman"/>
                  <w:color w:val="000000" w:themeColor="text1"/>
                  <w:sz w:val="24"/>
                  <w:szCs w:val="24"/>
                  <w:u w:val="none"/>
                  <w:lang w:eastAsia="ru-RU"/>
                </w:rPr>
                <w:t>Елабужского района</w:t>
              </w:r>
            </w:hyperlink>
            <w:r w:rsidRPr="00C02A10">
              <w:rPr>
                <w:rFonts w:ascii="Times New Roman" w:eastAsia="Times New Roman" w:hAnsi="Times New Roman" w:cs="Times New Roman"/>
                <w:color w:val="000000" w:themeColor="text1"/>
                <w:sz w:val="24"/>
                <w:szCs w:val="24"/>
                <w:lang w:eastAsia="ru-RU"/>
              </w:rPr>
              <w:t xml:space="preserve"> </w:t>
            </w:r>
            <w:hyperlink r:id="rId66" w:tooltip="Татарстан" w:history="1">
              <w:r w:rsidRPr="00C02A10">
                <w:rPr>
                  <w:rStyle w:val="a9"/>
                  <w:rFonts w:ascii="Times New Roman" w:eastAsia="Times New Roman" w:hAnsi="Times New Roman" w:cs="Times New Roman"/>
                  <w:color w:val="000000" w:themeColor="text1"/>
                  <w:sz w:val="24"/>
                  <w:szCs w:val="24"/>
                  <w:u w:val="none"/>
                  <w:lang w:eastAsia="ru-RU"/>
                </w:rPr>
                <w:t>Республики Татарстан</w:t>
              </w:r>
            </w:hyperlink>
            <w:r w:rsidRPr="00C02A10">
              <w:rPr>
                <w:rFonts w:ascii="Times New Roman" w:eastAsia="Times New Roman" w:hAnsi="Times New Roman" w:cs="Times New Roman"/>
                <w:sz w:val="24"/>
                <w:szCs w:val="24"/>
                <w:lang w:eastAsia="ru-RU"/>
              </w:rPr>
              <w:t xml:space="preserve"> в Камском инновационном территориально-производственном кластере на площадке</w:t>
            </w:r>
            <w:r w:rsidRPr="00C02A10">
              <w:rPr>
                <w:rFonts w:ascii="Times New Roman" w:eastAsia="Times New Roman" w:hAnsi="Times New Roman" w:cs="Times New Roman"/>
                <w:sz w:val="24"/>
                <w:szCs w:val="24"/>
                <w:lang w:eastAsia="ru-RU"/>
              </w:rPr>
              <w:br/>
              <w:t>АО «Особая экономическая зона промышленно-производственного типа «Алабуга» в 2017 году реализованы проекты по строительству малых электростанций мини-ТЭЦ Кастамону ООО «Кастамону Интегрейтед Вуд Индастри» электрической мощностью 24,99 МВт и ГТЭС ООО «Хаят Кимья» электрической мощностью</w:t>
            </w:r>
            <w:r w:rsidRPr="00C02A10">
              <w:rPr>
                <w:rFonts w:ascii="Times New Roman" w:eastAsia="Times New Roman" w:hAnsi="Times New Roman" w:cs="Times New Roman"/>
                <w:sz w:val="24"/>
                <w:szCs w:val="24"/>
                <w:lang w:eastAsia="ru-RU"/>
              </w:rPr>
              <w:br/>
              <w:t>18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В 2019 году на Мини-ТЭЦ Кастамону ООО «Кастамону Интегрейтед Вуд Индастри» планируется ввод в работу второй ГТУ электрической мощностью</w:t>
            </w:r>
            <w:r w:rsidRPr="00C02A10">
              <w:rPr>
                <w:rFonts w:ascii="Times New Roman" w:eastAsia="Times New Roman" w:hAnsi="Times New Roman" w:cs="Times New Roman"/>
                <w:sz w:val="24"/>
                <w:szCs w:val="24"/>
                <w:lang w:eastAsia="ru-RU"/>
              </w:rPr>
              <w:br/>
              <w:t>18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Также для собственных нужд на заводе АО «Аммоний» в г. Менделеевск в 2019 году была введена ГТУ мощностью 24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В 2019 году в г. Елабуга ООО «КЭР-Генерация» реализован проект ГТУ-ТЭС установленной электрической мощностью 20,474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Таким образом, установленная мощность энергосистемы Республики Татарстан с учетом объектов распределенной генерации в 2024 году составит 8161,788 МВт.</w:t>
            </w:r>
          </w:p>
          <w:p w:rsidR="00D7652C" w:rsidRPr="00D423B2" w:rsidRDefault="00D7652C" w:rsidP="00D7652C">
            <w:pPr>
              <w:autoSpaceDE w:val="0"/>
              <w:autoSpaceDN w:val="0"/>
              <w:adjustRightInd w:val="0"/>
              <w:ind w:firstLine="709"/>
              <w:jc w:val="both"/>
              <w:rPr>
                <w:rFonts w:ascii="Times New Roman" w:eastAsia="Times New Roman" w:hAnsi="Times New Roman" w:cs="Times New Roman"/>
                <w:sz w:val="24"/>
                <w:szCs w:val="24"/>
                <w:lang w:eastAsia="ru-RU"/>
              </w:rPr>
            </w:pPr>
          </w:p>
          <w:p w:rsidR="00344AF9" w:rsidRPr="00D423B2" w:rsidRDefault="00344AF9" w:rsidP="00344AF9">
            <w:pPr>
              <w:widowControl w:val="0"/>
              <w:autoSpaceDE w:val="0"/>
              <w:autoSpaceDN w:val="0"/>
              <w:ind w:firstLine="709"/>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4.2.2. Развитие электросетевого хозяйства</w:t>
            </w:r>
          </w:p>
          <w:p w:rsidR="00731FE7" w:rsidRDefault="00731FE7" w:rsidP="00344AF9">
            <w:pPr>
              <w:autoSpaceDE w:val="0"/>
              <w:autoSpaceDN w:val="0"/>
              <w:adjustRightInd w:val="0"/>
              <w:ind w:firstLine="709"/>
              <w:jc w:val="both"/>
              <w:rPr>
                <w:rFonts w:ascii="Times New Roman" w:eastAsia="Times New Roman" w:hAnsi="Times New Roman" w:cs="Times New Roman"/>
                <w:sz w:val="24"/>
                <w:szCs w:val="24"/>
                <w:lang w:eastAsia="ru-RU"/>
              </w:rPr>
            </w:pPr>
          </w:p>
          <w:p w:rsidR="00731FE7" w:rsidRPr="00731FE7" w:rsidRDefault="00731FE7" w:rsidP="00731FE7">
            <w:pPr>
              <w:autoSpaceDE w:val="0"/>
              <w:autoSpaceDN w:val="0"/>
              <w:adjustRightInd w:val="0"/>
              <w:ind w:firstLine="709"/>
              <w:jc w:val="both"/>
              <w:rPr>
                <w:rFonts w:ascii="Times New Roman" w:eastAsia="Times New Roman" w:hAnsi="Times New Roman" w:cs="Times New Roman"/>
                <w:sz w:val="24"/>
                <w:szCs w:val="24"/>
                <w:lang w:eastAsia="ru-RU"/>
              </w:rPr>
            </w:pPr>
            <w:r w:rsidRPr="00731FE7">
              <w:rPr>
                <w:rFonts w:ascii="Times New Roman" w:eastAsia="Times New Roman" w:hAnsi="Times New Roman" w:cs="Times New Roman"/>
                <w:sz w:val="24"/>
                <w:szCs w:val="24"/>
                <w:lang w:eastAsia="ru-RU"/>
              </w:rPr>
              <w:t>Основные направления развития связаны с перспективным развитием электросетевого хозяйства для нужд крупных производств. Заявленная мощность крупных компаний, расположенных в разных районах Республики Татарстан, представлена в таблице 16.</w:t>
            </w:r>
          </w:p>
          <w:p w:rsidR="00344AF9" w:rsidRPr="00D423B2" w:rsidRDefault="00344AF9" w:rsidP="00344AF9">
            <w:pPr>
              <w:autoSpaceDE w:val="0"/>
              <w:autoSpaceDN w:val="0"/>
              <w:adjustRightInd w:val="0"/>
              <w:ind w:firstLine="540"/>
              <w:jc w:val="right"/>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w:t>
            </w:r>
            <w:r w:rsidR="00731FE7">
              <w:rPr>
                <w:rFonts w:ascii="Times New Roman" w:eastAsia="Times New Roman" w:hAnsi="Times New Roman" w:cs="Times New Roman"/>
                <w:sz w:val="24"/>
                <w:szCs w:val="24"/>
                <w:lang w:eastAsia="ru-RU"/>
              </w:rPr>
              <w:t xml:space="preserve">аблица </w:t>
            </w:r>
            <w:r w:rsidRPr="00D423B2">
              <w:rPr>
                <w:rFonts w:ascii="Times New Roman" w:eastAsia="Times New Roman" w:hAnsi="Times New Roman" w:cs="Times New Roman"/>
                <w:sz w:val="24"/>
                <w:szCs w:val="24"/>
                <w:lang w:eastAsia="ru-RU"/>
              </w:rPr>
              <w:t>16</w:t>
            </w:r>
          </w:p>
          <w:p w:rsidR="00344AF9" w:rsidRPr="00D423B2" w:rsidRDefault="00344AF9" w:rsidP="00344AF9">
            <w:pPr>
              <w:widowControl w:val="0"/>
              <w:shd w:val="clear" w:color="auto" w:fill="FFFFFF"/>
              <w:autoSpaceDE w:val="0"/>
              <w:autoSpaceDN w:val="0"/>
              <w:jc w:val="center"/>
              <w:rPr>
                <w:rFonts w:ascii="Times New Roman" w:eastAsia="Times New Roman" w:hAnsi="Times New Roman" w:cs="Times New Roman"/>
                <w:sz w:val="24"/>
                <w:szCs w:val="24"/>
                <w:lang w:eastAsia="ru-RU"/>
              </w:rPr>
            </w:pPr>
            <w:bookmarkStart w:id="13" w:name="P2061"/>
            <w:bookmarkEnd w:id="13"/>
          </w:p>
          <w:p w:rsidR="00731FE7" w:rsidRPr="00731FE7" w:rsidRDefault="00731FE7" w:rsidP="00731FE7">
            <w:pPr>
              <w:widowControl w:val="0"/>
              <w:shd w:val="clear" w:color="auto" w:fill="FFFFFF"/>
              <w:autoSpaceDE w:val="0"/>
              <w:autoSpaceDN w:val="0"/>
              <w:jc w:val="center"/>
              <w:rPr>
                <w:rFonts w:ascii="Times New Roman" w:eastAsia="Times New Roman" w:hAnsi="Times New Roman" w:cs="Times New Roman"/>
                <w:sz w:val="24"/>
                <w:szCs w:val="24"/>
                <w:lang w:eastAsia="ru-RU"/>
              </w:rPr>
            </w:pPr>
            <w:r w:rsidRPr="00731FE7">
              <w:rPr>
                <w:rFonts w:ascii="Times New Roman" w:eastAsia="Times New Roman" w:hAnsi="Times New Roman" w:cs="Times New Roman"/>
                <w:sz w:val="24"/>
                <w:szCs w:val="24"/>
                <w:lang w:eastAsia="ru-RU"/>
              </w:rPr>
              <w:t>Основные крупные заявители по ОАО «Сетевая компания»</w:t>
            </w:r>
          </w:p>
          <w:p w:rsidR="00C10449" w:rsidRDefault="00C10449" w:rsidP="00344AF9">
            <w:pPr>
              <w:widowControl w:val="0"/>
              <w:shd w:val="clear" w:color="auto" w:fill="FFFFFF"/>
              <w:autoSpaceDE w:val="0"/>
              <w:autoSpaceDN w:val="0"/>
              <w:jc w:val="center"/>
              <w:rPr>
                <w:rFonts w:ascii="Times New Roman" w:eastAsia="Times New Roman" w:hAnsi="Times New Roman" w:cs="Times New Roman"/>
                <w:sz w:val="24"/>
                <w:szCs w:val="24"/>
                <w:lang w:eastAsia="ru-RU"/>
              </w:rPr>
            </w:pPr>
          </w:p>
          <w:tbl>
            <w:tblPr>
              <w:tblW w:w="4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2"/>
              <w:gridCol w:w="515"/>
              <w:gridCol w:w="446"/>
              <w:gridCol w:w="415"/>
              <w:gridCol w:w="415"/>
              <w:gridCol w:w="451"/>
              <w:gridCol w:w="499"/>
              <w:gridCol w:w="915"/>
            </w:tblGrid>
            <w:tr w:rsidR="00731FE7" w:rsidRPr="00EE54D2" w:rsidTr="00731FE7">
              <w:trPr>
                <w:trHeight w:val="322"/>
              </w:trPr>
              <w:tc>
                <w:tcPr>
                  <w:tcW w:w="1282" w:type="dxa"/>
                  <w:vMerge w:val="restart"/>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Наименование предприятия</w:t>
                  </w:r>
                </w:p>
              </w:tc>
              <w:tc>
                <w:tcPr>
                  <w:tcW w:w="2741" w:type="dxa"/>
                  <w:gridSpan w:val="6"/>
                  <w:shd w:val="clear" w:color="auto" w:fill="auto"/>
                </w:tcPr>
                <w:p w:rsidR="00731FE7" w:rsidRPr="00731FE7" w:rsidRDefault="00731FE7" w:rsidP="00731FE7">
                  <w:pPr>
                    <w:pStyle w:val="ConsPlusTitle"/>
                    <w:spacing w:before="60" w:after="60"/>
                    <w:jc w:val="center"/>
                    <w:rPr>
                      <w:rFonts w:ascii="Times New Roman" w:hAnsi="Times New Roman" w:cs="Times New Roman"/>
                      <w:b w:val="0"/>
                      <w:sz w:val="16"/>
                      <w:szCs w:val="16"/>
                    </w:rPr>
                  </w:pPr>
                  <w:r w:rsidRPr="00731FE7">
                    <w:rPr>
                      <w:rFonts w:ascii="Times New Roman" w:hAnsi="Times New Roman" w:cs="Times New Roman"/>
                      <w:b w:val="0"/>
                      <w:sz w:val="16"/>
                      <w:szCs w:val="16"/>
                    </w:rPr>
                    <w:t>Заявленная мощность, МВт</w:t>
                  </w:r>
                </w:p>
              </w:tc>
              <w:tc>
                <w:tcPr>
                  <w:tcW w:w="915" w:type="dxa"/>
                  <w:vMerge w:val="restart"/>
                  <w:shd w:val="clear" w:color="auto" w:fill="auto"/>
                </w:tcPr>
                <w:p w:rsidR="00731FE7" w:rsidRPr="00731FE7" w:rsidRDefault="00731FE7" w:rsidP="00731FE7">
                  <w:pPr>
                    <w:pStyle w:val="ConsPlusTitle"/>
                    <w:spacing w:before="60" w:after="60"/>
                    <w:jc w:val="center"/>
                    <w:rPr>
                      <w:rFonts w:ascii="Times New Roman" w:hAnsi="Times New Roman" w:cs="Times New Roman"/>
                      <w:b w:val="0"/>
                      <w:sz w:val="16"/>
                      <w:szCs w:val="16"/>
                    </w:rPr>
                  </w:pPr>
                  <w:r w:rsidRPr="00731FE7">
                    <w:rPr>
                      <w:rFonts w:ascii="Times New Roman" w:hAnsi="Times New Roman" w:cs="Times New Roman"/>
                      <w:b w:val="0"/>
                      <w:sz w:val="16"/>
                      <w:szCs w:val="16"/>
                    </w:rPr>
                    <w:t>Муниципальные районы</w:t>
                  </w:r>
                </w:p>
              </w:tc>
            </w:tr>
            <w:tr w:rsidR="00731FE7" w:rsidRPr="00EE54D2" w:rsidTr="00731FE7">
              <w:trPr>
                <w:trHeight w:val="829"/>
              </w:trPr>
              <w:tc>
                <w:tcPr>
                  <w:tcW w:w="1282" w:type="dxa"/>
                  <w:vMerge/>
                  <w:shd w:val="clear" w:color="auto" w:fill="auto"/>
                </w:tcPr>
                <w:p w:rsidR="00731FE7" w:rsidRPr="00731FE7" w:rsidRDefault="00731FE7" w:rsidP="00731FE7">
                  <w:pPr>
                    <w:shd w:val="clear" w:color="auto" w:fill="FFFFFF"/>
                    <w:spacing w:before="60" w:after="60"/>
                    <w:rPr>
                      <w:rFonts w:ascii="Times New Roman" w:hAnsi="Times New Roman" w:cs="Times New Roman"/>
                      <w:sz w:val="16"/>
                      <w:szCs w:val="16"/>
                    </w:rPr>
                  </w:pP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2018</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2019</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2020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2021</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2022</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Макси-мальная</w:t>
                  </w:r>
                </w:p>
              </w:tc>
              <w:tc>
                <w:tcPr>
                  <w:tcW w:w="915" w:type="dxa"/>
                  <w:vMerge/>
                  <w:shd w:val="clear" w:color="auto" w:fill="auto"/>
                </w:tcPr>
                <w:p w:rsidR="00731FE7" w:rsidRPr="00731FE7" w:rsidRDefault="00731FE7" w:rsidP="00731FE7">
                  <w:pPr>
                    <w:pStyle w:val="ConsPlusTitle"/>
                    <w:spacing w:before="60" w:after="60"/>
                    <w:jc w:val="center"/>
                    <w:rPr>
                      <w:rFonts w:ascii="Times New Roman" w:hAnsi="Times New Roman" w:cs="Times New Roman"/>
                      <w:b w:val="0"/>
                      <w:sz w:val="16"/>
                      <w:szCs w:val="16"/>
                    </w:rPr>
                  </w:pPr>
                </w:p>
              </w:tc>
            </w:tr>
            <w:tr w:rsidR="00731FE7" w:rsidRPr="00EE54D2" w:rsidTr="00731FE7">
              <w:trPr>
                <w:trHeight w:val="346"/>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Комплекс «ТАНЕКО»</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107,1</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133,0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159,0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186,0</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198,0</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215,0</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Нижнекамский</w:t>
                  </w:r>
                </w:p>
              </w:tc>
            </w:tr>
            <w:tr w:rsidR="00731FE7" w:rsidRPr="00EE54D2" w:rsidTr="00731FE7">
              <w:trPr>
                <w:trHeight w:val="569"/>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ОЭЗ «Алабуга»</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56,788</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65,008</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67,979</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72,091</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75,032</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77,575</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Нижнекамский</w:t>
                  </w:r>
                </w:p>
              </w:tc>
            </w:tr>
            <w:tr w:rsidR="00731FE7" w:rsidRPr="00EE54D2" w:rsidTr="00731FE7">
              <w:trPr>
                <w:trHeight w:val="334"/>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 xml:space="preserve">ОАО «Аммоний» </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Менделеевский</w:t>
                  </w:r>
                </w:p>
              </w:tc>
            </w:tr>
            <w:tr w:rsidR="00731FE7" w:rsidRPr="00EE54D2" w:rsidTr="00731FE7">
              <w:trPr>
                <w:trHeight w:val="582"/>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ООО «Индустриальный парк М-7»</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6,208</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6,208</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8,208</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9,208</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10,208</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10,208</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Зеленодольский</w:t>
                  </w:r>
                </w:p>
              </w:tc>
            </w:tr>
            <w:tr w:rsidR="00731FE7" w:rsidRPr="00EE54D2" w:rsidTr="00731FE7">
              <w:trPr>
                <w:trHeight w:val="334"/>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ПАО «Казаньоргсинтез»</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206,0</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207,4</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217,4</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220,0</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220,0</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222,5</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Казанский</w:t>
                  </w:r>
                </w:p>
              </w:tc>
            </w:tr>
            <w:tr w:rsidR="00731FE7" w:rsidRPr="00EE54D2" w:rsidTr="00731FE7">
              <w:trPr>
                <w:trHeight w:val="346"/>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ОАО «Заинский сахар»</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9,6</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9,6</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9,8</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9,8</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9,8</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9,8</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Заинский</w:t>
                  </w:r>
                </w:p>
              </w:tc>
            </w:tr>
            <w:tr w:rsidR="00731FE7" w:rsidRPr="00EE54D2" w:rsidTr="00731FE7">
              <w:trPr>
                <w:trHeight w:val="334"/>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ОАО «ТАИФ-НК»</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112,9</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113,8</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114,0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114,0</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114,0</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114,0</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Нижнекамский</w:t>
                  </w:r>
                </w:p>
              </w:tc>
            </w:tr>
            <w:tr w:rsidR="00731FE7" w:rsidRPr="00EE54D2" w:rsidTr="00731FE7">
              <w:trPr>
                <w:trHeight w:val="582"/>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 xml:space="preserve">ОАО «НКНХ» </w:t>
                  </w:r>
                  <w:r w:rsidRPr="00731FE7">
                    <w:rPr>
                      <w:rFonts w:ascii="Times New Roman" w:hAnsi="Times New Roman" w:cs="Times New Roman"/>
                      <w:sz w:val="16"/>
                      <w:szCs w:val="16"/>
                    </w:rPr>
                    <w:br/>
                    <w:t>(</w:t>
                  </w:r>
                  <w:r w:rsidRPr="00731FE7">
                    <w:rPr>
                      <w:rFonts w:ascii="Times New Roman" w:hAnsi="Times New Roman" w:cs="Times New Roman"/>
                      <w:i/>
                      <w:sz w:val="16"/>
                      <w:szCs w:val="16"/>
                    </w:rPr>
                    <w:t>с субабонентами</w:t>
                  </w:r>
                  <w:r w:rsidRPr="00731FE7">
                    <w:rPr>
                      <w:rFonts w:ascii="Times New Roman" w:hAnsi="Times New Roman" w:cs="Times New Roman"/>
                      <w:sz w:val="16"/>
                      <w:szCs w:val="16"/>
                    </w:rPr>
                    <w:t>)</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406,5</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413,0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420,0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420,0</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420,0</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495,0</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Нижнекамский</w:t>
                  </w:r>
                </w:p>
              </w:tc>
            </w:tr>
            <w:tr w:rsidR="00731FE7" w:rsidRPr="00EE54D2" w:rsidTr="00731FE7">
              <w:trPr>
                <w:trHeight w:val="569"/>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ООО «Тепличный комбинат «Майский»</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81,8</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86,3</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86,3</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86,3</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86,3</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86,3</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Зеленодольский</w:t>
                  </w:r>
                </w:p>
              </w:tc>
            </w:tr>
            <w:tr w:rsidR="00731FE7" w:rsidRPr="00EE54D2" w:rsidTr="00731FE7">
              <w:trPr>
                <w:trHeight w:val="334"/>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ООО «Ай-Пласт»</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446" w:type="dxa"/>
                  <w:shd w:val="clear" w:color="auto" w:fill="auto"/>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415" w:type="dxa"/>
                  <w:shd w:val="clear" w:color="auto" w:fill="auto"/>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415" w:type="dxa"/>
                  <w:shd w:val="clear" w:color="auto" w:fill="auto"/>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451" w:type="dxa"/>
                  <w:shd w:val="clear" w:color="auto" w:fill="auto"/>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497" w:type="dxa"/>
                  <w:shd w:val="clear" w:color="auto" w:fill="auto"/>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915"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Нижнекамский</w:t>
                  </w:r>
                </w:p>
              </w:tc>
            </w:tr>
            <w:tr w:rsidR="00731FE7" w:rsidRPr="00EE54D2" w:rsidTr="00731FE7">
              <w:trPr>
                <w:trHeight w:val="334"/>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АО «ПОЗиС»</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13,1</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13,1</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13,2</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13,2</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13,5</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13,7</w:t>
                  </w:r>
                </w:p>
              </w:tc>
              <w:tc>
                <w:tcPr>
                  <w:tcW w:w="915"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Зеленодольский</w:t>
                  </w:r>
                </w:p>
              </w:tc>
            </w:tr>
          </w:tbl>
          <w:p w:rsidR="00731FE7" w:rsidRPr="00D423B2" w:rsidRDefault="00731FE7" w:rsidP="00344AF9">
            <w:pPr>
              <w:widowControl w:val="0"/>
              <w:shd w:val="clear" w:color="auto" w:fill="FFFFFF"/>
              <w:autoSpaceDE w:val="0"/>
              <w:autoSpaceDN w:val="0"/>
              <w:jc w:val="center"/>
              <w:rPr>
                <w:rFonts w:ascii="Times New Roman" w:eastAsia="Times New Roman" w:hAnsi="Times New Roman" w:cs="Times New Roman"/>
                <w:sz w:val="24"/>
                <w:szCs w:val="24"/>
                <w:lang w:eastAsia="ru-RU"/>
              </w:rPr>
            </w:pP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Выполнение мероприятий по развитию электросетевого хозяйства направлено на решение следующих основных проблем:</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повышенная загрузка ряда кабельных и воздушных линий электропередачи и трансформаторов сети 110 – 220 кВ;</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возникновение перегрузок в электрических сетях 110 - 220 кВ при отключении элементов сети 500 кВ;</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несоответствие отключающей способности выключателей 110-500 кВ при различных режимах в электрической сети фактическому уровню токов короткого замыкания, в связи с чем возникает необходимость применения режимных мероприятий;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большие величины токов короткого замыкания и недостаточная отключающая способность выключателей 500, 220 и 110 кВ, что вызывает необходимость применения различных мероприятий по ограничению разрывов электрической сети.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При решении основных проблем должны применяться концептуальные подходы к развитию электросетевого хозяйства:</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необходимость компактного исполнения объектов электрических сетей вследствие высокой стоимости земли; схема основной электрической сети должна обладать достаточной гибкостью, позволяющей осуществлять ее поэтапное развитие и иметь возможность приспосабливаться к изменению условий роста нагрузки и развитию электростанций;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схема и параметры распределительных сетей должны обеспечивать надежность электроснабжения, при котором питание потребителей осуществляется без ограничения нагрузки с соблюдением нормативных требований к качеству электроэнергии при полной схеме сети и при выводе в ремонт одной высоковольтной линии (далее – ВЛ) или автотрансформатора (трансформатора);</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 условиях высокой плотности нагрузки, обеспечения надежности и эффективности энергоснабжения в крупных городах Республики Татарстан центры питания должны быть максимально приближены к центрам нагрузок и обеспечивать требования по надежности, регулированию частоты и активной мощности, регулированию напряжения и реактивной мощности как в условиях параллельной работы в энергосистеме, так и в условиях изолированной работы на выделенную нагрузку;</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техническое перевооружение электрических сетей должно предусматривать повышение пропускной способности, в том числе путем перевода ВЛ и подстанций (далее – ПС) на более высокий класс напряжения;</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широкое использование кабельных сетей высокой пропускной способности и закрытых ПС с применением в распределительных устройствах высшего напряжения элегазового оборудования в городских районах массовой застройки;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проведение реконструкции ПС напряжением 110 – 500 кВ открытого типа и ВЛ, проходящих в черте города, путем сооружения на месте существующих новых ПС, выполненных по новейшим технологиям. Реконструкция ВЛ планируется путем перевода их в кабельные линии;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применение новых технологий и оборудования, ограничивающего токи короткого замыкания (далее – КЗ);</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поэтапная замена выключателей 110 кВ и выше, отработавших нормативный срок и имеющих не соответствующую уровням токов КЗ отключающую способность;</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применение новых типов силового и коммутационного оборудования, созданного на основе новых материалов, передовых технологий;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применение композитных проводов и кабелей из сшитого полиэтилена, обладающих увеличенной пропускной способностью.</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Выполнение мероприятий по развитию электросетевого хозяйства должно быть направлено на снятие инфраструктурных ограничений, в том числе для целей «освобождения запертых» мощностей электрических станций и обеспечения экономичной загрузки станций в летний период.</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Дальнейшее развитие электросетевого хозяйства связано с системой противоаварийной и режимной автоматики, телемеханики и связи, развитием автоматизированных систем учета электроэнергии, в том числе в соответствии с Федеральным законом от 26 марта 2003 года № 35-ФЗ «Об электроэнергетике».</w:t>
            </w:r>
            <w:r w:rsidRPr="000F7FB4">
              <w:rPr>
                <w:rFonts w:ascii="Times New Roman" w:eastAsia="Times New Roman" w:hAnsi="Times New Roman" w:cs="Times New Roman"/>
                <w:sz w:val="24"/>
                <w:szCs w:val="24"/>
                <w:lang w:eastAsia="ru-RU"/>
              </w:rPr>
              <w:br/>
              <w:t>К примеру, в ОАО «Сетевая компания» ведется внедрение и развитие интеллектуальной активно-адаптивной сети «Smart Grid».</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 соответствии с общепринятым мнением «Smart Grid» – это максимально автоматизированная сеть, сочетающая в себе инструменты управления, контроля и мониторинга, информационные технологии и средства коммуникации, обеспечивающие параллельно поток электроэнергии и информации от электростанции до потребителя, а также:</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заданный уровень надежности и качества электроснабжения потребителей;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снижение потерь электроэнергии в элементах сети;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оптимальные затраты на эксплуатацию;</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создание потребителям условий для оптимизации затрат на пользование электроэнергией.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«Интеллектуальная сеть» – это переход электроэнергетики на качественно новый технологический уровень, возможность наиболее эффективными средствами решить основные проблемы энергетического и электросетевого хозяйства.</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Внедрение автоматизированных систем учета электроэнергии обеспечивает расширение функций контроля режима работы электросети, позволяет на основании анализа перетоков активной и реактивной энергии прогнозировать загрузку линий электропередач, оборудования ПС ОАО «Сетевая компания» и потребителей, разрабатывать мероприятия по вводу компенсирующих устройств в узлах электрической сети и у потребителей, что в конечном итоге снижает потери в электрических сетях.</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 xml:space="preserve">В ОАО «Сетевая компания» наряду с решением проблем системной надежности (строительство в последние годы таких крупных объектов, как </w:t>
            </w:r>
            <w:r w:rsidRPr="000F7FB4">
              <w:rPr>
                <w:rFonts w:ascii="Times New Roman" w:eastAsia="Times New Roman" w:hAnsi="Times New Roman" w:cs="Times New Roman"/>
                <w:sz w:val="24"/>
                <w:szCs w:val="24"/>
                <w:lang w:eastAsia="ru-RU"/>
              </w:rPr>
              <w:br/>
              <w:t>ПС «Щелоков», ПС «Бегишево», линия «Щелоков – Центральная» и пр.) повышенное внимание уделяется распределительным сетям. Для решения проблем надежности электроснабжения конечных потребителей – снижения времени и частоты отключений – в Компании проводятся мероприятия по мониторингу и управлению состоянием распределительной сети. Так, в городах Казань, Нижнекамск и Набережные Челны реализованы проекты по самовосстанавливающимся сетям, что позволяет в автоматическом режиме локализовать повреждение, отделение поврежденного участка сети и восстановить электроснабжение потребителей. Весь цикл операций занимает не более 90 секунд. Суммарно в зоне действия такой сети находится более 110 тыс. человек. В части цифровизации сельских и пригородных распределительных сетей также ведется серьезная работа – повсеместно внедряются системы автоматического секционирования сети и средства определения места повреждения.</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Сегодня более 35 процентов сетей находятся в зоне действия интеллектуальных решений, что в среднем улучшает показатели надежности электроснабжения потребителей на 30 процентов.</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Актуальным направлением внедрения интеллектуальных сетей остается развитие интегрированной автоматизированной системы учета электроэнергии уровня предприятия электрических сетей.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Основным, наиболее перспективным направлением является применение автоматизированных информационно-измерительных систем учета электроэнергии.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 xml:space="preserve">Последние годы ОАО «Сетевая компания» активно занималось развитием автоматизированных систем учета электроэнергии с дистанционной передачей показаний приборов учета, что позволяло поддерживать устойчивый тренд по снижению потерь электроэнергии. </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 частности, в 2018 году на базе Елабужских электрических сетей (Елабужский РЭС) реализован пилотный проект, в рамках которого установлены современные интеллектуальные счетчики в количестве 5,2 тыс. штук. Интеллектуальной системой охвачен 31 населенный пункт. В результате реализации проекта существенно повысилась наблюдаемость электрической сети, осуществляется контроль параметров качества электроэнергии. В Елабужском РЭС за счет увеличения полезного отпуска в частном секторе зафиксировано снижение фактических потерь электроэнергии.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 рамках внедрения интеллектуальных технологий в электросетевой комплекс Татарстана ОАО «Сетевая компания» прорабатывается вопрос создания объекта «Цифровая подстанция». Так, в частности, при реконструкции ПС 110 кВ «Портовая» специалистами ОАО «Сетевая компания» в 2019 году была реализована концепция, объединяющая традиционное первичное оборудование с интеллектуальным вторичным, позволяющим преобразовывать аналоговые сигналы в цифровые. Для энергетиков Республики Татарстан</w:t>
            </w:r>
            <w:r w:rsidR="00E45003">
              <w:rPr>
                <w:rFonts w:ascii="Times New Roman" w:eastAsia="Times New Roman" w:hAnsi="Times New Roman" w:cs="Times New Roman"/>
                <w:sz w:val="24"/>
                <w:szCs w:val="24"/>
                <w:lang w:eastAsia="ru-RU"/>
              </w:rPr>
              <w:t xml:space="preserve"> </w:t>
            </w:r>
            <w:r w:rsidRPr="000F7FB4">
              <w:rPr>
                <w:rFonts w:ascii="Times New Roman" w:eastAsia="Times New Roman" w:hAnsi="Times New Roman" w:cs="Times New Roman"/>
                <w:sz w:val="24"/>
                <w:szCs w:val="24"/>
                <w:lang w:eastAsia="ru-RU"/>
              </w:rPr>
              <w:t>это первый опыт построения цифровой подстанции, а в ближайшей перспективе планируется продолжить реконструкцию ПС 110 кВ с аналогичными подходами на территории Казани – ПС 110 кВ «Азино», ПС 110 «Пестрецы».</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 xml:space="preserve">Проект «Цифровая подстанция» позволяет создать в Республике Татарстан автоматизированные ПС, на которых управление, релейная защита, автоматика, измерение и учет функционируют в цифровом формате, включая устройства управления силовым и коммутационным оборудованием, а также автоконтроль их технического состояния. Появление подобных ПС является точкой отсчета перехода электроэнергетики на качественно новый уровень. </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Кроме того, в Республике Татарстан ОАО «Сетевая компания» внедрила новые технологии работы под напряжением, обеспечивающие проведение ремонтно-восстановительных работ на электросетевых объектах без отключения потребителей.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Эта инновационная технология внедряется в компании с 2009 года,</w:t>
            </w:r>
            <w:r w:rsidRPr="000F7FB4">
              <w:rPr>
                <w:rFonts w:ascii="Times New Roman" w:eastAsia="Times New Roman" w:hAnsi="Times New Roman" w:cs="Times New Roman"/>
                <w:sz w:val="24"/>
                <w:szCs w:val="24"/>
                <w:lang w:eastAsia="ru-RU"/>
              </w:rPr>
              <w:br/>
              <w:t xml:space="preserve">а с 2015 года началось ее тиражирование по всей компании. Результаты внедрения работы под напряжением (далее – РПН) в компании подтверждают уникальность, эффективность и безопасность предлагаемой методики. </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Работы под напряжением обеспечивают повышение качества электроснабжения потребителей и экономически выгодны для самой компании. Существенно сократились средняя частота аварийных отключений и их продолжительность.</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 xml:space="preserve">Ежегодно увеличивается количество бригад, работающих по этой технологии. Только за прошедший 2018 год их количество возросло на 31 и на данный момент составляет 123 бригады электромонтеров, осуществляющих работы во всех районах Республики Татарстан. </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 энергосистеме Республики Татарстан силами специалистов филиалов</w:t>
            </w:r>
            <w:r w:rsidRPr="000F7FB4">
              <w:rPr>
                <w:rFonts w:ascii="Times New Roman" w:eastAsia="Times New Roman" w:hAnsi="Times New Roman" w:cs="Times New Roman"/>
                <w:sz w:val="24"/>
                <w:szCs w:val="24"/>
                <w:lang w:eastAsia="ru-RU"/>
              </w:rPr>
              <w:br/>
              <w:t>АО «СО ЕЭС» ОДУ Средней Волги и РДУ Татарстана совместно со специалистами ОАО «Сетевая компания» в 2016 году на ПС 220 кВ «Центральная» на ПС 500 кВ «Щелоков» реализован проект дистанционного управления оборудованием, а в</w:t>
            </w:r>
            <w:r w:rsidRPr="000F7FB4">
              <w:rPr>
                <w:rFonts w:ascii="Times New Roman" w:eastAsia="Times New Roman" w:hAnsi="Times New Roman" w:cs="Times New Roman"/>
                <w:sz w:val="24"/>
                <w:szCs w:val="24"/>
                <w:lang w:eastAsia="ru-RU"/>
              </w:rPr>
              <w:br/>
            </w:r>
            <w:r w:rsidR="00E45003" w:rsidRPr="00DE2E34">
              <w:rPr>
                <w:rFonts w:ascii="Times New Roman" w:eastAsia="Times New Roman" w:hAnsi="Times New Roman" w:cs="Times New Roman"/>
                <w:sz w:val="24"/>
                <w:szCs w:val="24"/>
                <w:lang w:eastAsia="ru-RU"/>
              </w:rPr>
              <w:t xml:space="preserve">            </w:t>
            </w:r>
            <w:r w:rsidRPr="000F7FB4">
              <w:rPr>
                <w:rFonts w:ascii="Times New Roman" w:eastAsia="Times New Roman" w:hAnsi="Times New Roman" w:cs="Times New Roman"/>
                <w:sz w:val="24"/>
                <w:szCs w:val="24"/>
                <w:lang w:eastAsia="ru-RU"/>
              </w:rPr>
              <w:t>2019 году выполнено расширение объема дистанционного управления оборудованием указанных энергообъектов, что позволило впервые в стране осуществить полный цикл операций (с коммутационными аппаратами и заземляющими ножами) по выводу в ремонт и вводу в работу объекта управления диспетчерского центра с использованием автоматизированных программам переключений. В стадии реализации проект дистанционного управления коммутационными аппаратами, заземляющими ножами и устройствами релейной защиты и автоматики на ПС 220 кВ «Зеленодольская», который позволит впервые в стране осуществлять дистанционное управление устройствами релейной защиты и автоматики, что обеспечит осуществление полного цикла вывода из работы и ввод в работу оборудования, значительно сократит время производства переключений в электроустановках.</w:t>
            </w:r>
          </w:p>
          <w:p w:rsidR="001112C7" w:rsidRPr="00D423B2" w:rsidRDefault="001112C7" w:rsidP="001112C7">
            <w:pPr>
              <w:widowControl w:val="0"/>
              <w:autoSpaceDE w:val="0"/>
              <w:autoSpaceDN w:val="0"/>
              <w:ind w:firstLine="709"/>
              <w:outlineLvl w:val="3"/>
              <w:rPr>
                <w:rFonts w:ascii="Times New Roman" w:eastAsia="Times New Roman" w:hAnsi="Times New Roman" w:cs="Times New Roman"/>
                <w:sz w:val="28"/>
                <w:szCs w:val="28"/>
                <w:lang w:eastAsia="ru-RU"/>
              </w:rPr>
            </w:pPr>
          </w:p>
          <w:p w:rsidR="001112C7" w:rsidRPr="00D423B2" w:rsidRDefault="001112C7" w:rsidP="001112C7">
            <w:pPr>
              <w:widowControl w:val="0"/>
              <w:autoSpaceDE w:val="0"/>
              <w:autoSpaceDN w:val="0"/>
              <w:ind w:firstLine="709"/>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4.2.3. Особенности развития систем теплоснабжения</w:t>
            </w:r>
          </w:p>
          <w:p w:rsidR="001112C7" w:rsidRPr="00D423B2" w:rsidRDefault="001112C7" w:rsidP="001112C7">
            <w:pPr>
              <w:widowControl w:val="0"/>
              <w:autoSpaceDE w:val="0"/>
              <w:autoSpaceDN w:val="0"/>
              <w:ind w:firstLine="709"/>
              <w:jc w:val="center"/>
              <w:outlineLvl w:val="3"/>
              <w:rPr>
                <w:rFonts w:ascii="Times New Roman" w:eastAsia="Times New Roman" w:hAnsi="Times New Roman" w:cs="Times New Roman"/>
                <w:b/>
                <w:sz w:val="24"/>
                <w:szCs w:val="24"/>
                <w:lang w:eastAsia="ru-RU"/>
              </w:rPr>
            </w:pP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 xml:space="preserve">Основными альтернативными направлениями развития систем теплоснабжения являются их централизация и децентрализация. </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В настоящее время основным способом теплоснабжения потребителей в крупных и средних городах Республики Татарстан является централизованное теплоснабжение.</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 xml:space="preserve">В соответствии с Федеральным </w:t>
            </w:r>
            <w:hyperlink r:id="rId67" w:history="1">
              <w:r w:rsidRPr="00D5747F">
                <w:rPr>
                  <w:rStyle w:val="a9"/>
                  <w:rFonts w:ascii="Times New Roman" w:eastAsia="Times New Roman" w:hAnsi="Times New Roman" w:cs="Times New Roman"/>
                  <w:color w:val="000000" w:themeColor="text1"/>
                  <w:sz w:val="24"/>
                  <w:szCs w:val="24"/>
                  <w:u w:val="none"/>
                  <w:lang w:eastAsia="ru-RU"/>
                </w:rPr>
                <w:t>законом</w:t>
              </w:r>
            </w:hyperlink>
            <w:r w:rsidRPr="00DE2E34">
              <w:rPr>
                <w:rFonts w:ascii="Times New Roman" w:eastAsia="Times New Roman" w:hAnsi="Times New Roman" w:cs="Times New Roman"/>
                <w:sz w:val="24"/>
                <w:szCs w:val="24"/>
                <w:lang w:eastAsia="ru-RU"/>
              </w:rPr>
              <w:t xml:space="preserve"> от 27 июля 2010 года № 190-ФЗ </w:t>
            </w:r>
            <w:r w:rsidRPr="00DE2E34">
              <w:rPr>
                <w:rFonts w:ascii="Times New Roman" w:eastAsia="Times New Roman" w:hAnsi="Times New Roman" w:cs="Times New Roman"/>
                <w:sz w:val="24"/>
                <w:szCs w:val="24"/>
                <w:lang w:eastAsia="ru-RU"/>
              </w:rPr>
              <w:br/>
              <w:t>«О теплоснабжении» основными принципами организации отношений в сфере теплоснабжения определены:</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обеспечение приоритетного использования комбинированной выработки электрической и тепловой энергии для организации теплоснабжения;</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развитие систем централизованного теплоснабжения.</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Основными достоинствами систем централизованного теплоснабжения, которые достигаются при преимущественном использовании комбинированной выработки тепловой и электрической энергии, являются экономия топливных ресурсов и снижение антропогенной нагрузки на окружающую среду. Однако для их достижения необходимы большие капиталовложения для модернизации генерирующих мощностей и тепловых сетей.</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Децентрализация систем теплоснабжения предполагает использование источников тепла малой и средней мощности для обеспечения нужд отдельных потребителей. Использование автономных источников тепла позволяет снизить потери в тепловых сетях, выбросы продуктов химподготовки, свести к минимуму потери сетевой воды, исключить необходимость проведения большого объема работ по прокладке теплотрасс.</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Необходимо оптимальное сочетание централизованных и децентрализованных систем отопления исходя из экономической целесообразности. Автономные системы теплоснабжения экономически оправданы в небольших населенных пунктах с малоэтажной застройкой и некоторых городских районах с объективно дорогим подключением к централизованным тепловым сетям.</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В зонах, где централизованное теплоснабжение экономически оправдано, целесообразно добиваться подключения к ней максимального количества потребителей. Отключение части потребителей от теплоснабжающей сети приводит к объективному удорожанию этой услуги для оставшихся потребителей и снижению технико-экономических показателей теплоснабжающей организации.</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Для того чтобы стабилизировать тарифы на тепло, необходимо оперировать более совершенными механизмами управления тепловой сетью. И эти механизмы касаются и самой технологии перераспределения тепла, и технологии управленческих решений.</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Цифровые технологии смогут в первую очередь обеспечивать экономичность эксплуатации, способствовать снижению производственных потерь, управленческих решений и минимизировать все затраты.</w:t>
            </w:r>
          </w:p>
          <w:p w:rsidR="00DA3645" w:rsidRPr="00D423B2" w:rsidRDefault="00DA3645" w:rsidP="00DA3645">
            <w:pPr>
              <w:ind w:firstLine="709"/>
              <w:contextualSpacing/>
              <w:jc w:val="both"/>
              <w:rPr>
                <w:rFonts w:ascii="Times New Roman" w:eastAsia="Times New Roman" w:hAnsi="Times New Roman" w:cs="Times New Roman"/>
                <w:sz w:val="24"/>
                <w:szCs w:val="24"/>
                <w:lang w:eastAsia="ru-RU"/>
              </w:rPr>
            </w:pPr>
          </w:p>
          <w:p w:rsidR="001112C7" w:rsidRPr="00D423B2" w:rsidRDefault="001112C7" w:rsidP="001112C7">
            <w:pPr>
              <w:ind w:firstLine="709"/>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4.2.4. Развитие энергосбытового сектора</w:t>
            </w:r>
          </w:p>
          <w:p w:rsidR="001112C7" w:rsidRPr="00D423B2" w:rsidRDefault="001112C7" w:rsidP="001112C7">
            <w:pPr>
              <w:ind w:firstLine="709"/>
              <w:rPr>
                <w:rFonts w:ascii="Times New Roman" w:eastAsia="Times New Roman" w:hAnsi="Times New Roman" w:cs="Times New Roman"/>
                <w:sz w:val="24"/>
                <w:szCs w:val="24"/>
                <w:lang w:eastAsia="ru-RU"/>
              </w:rPr>
            </w:pP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Розничный рынок электроэнергетики Республики Татарстан представлен работой гарантирующего поставщика – АО «Татэнергосбыт» и других энергосбытовых компаний на территории республики.</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С учетом ускоренного развития информационных технологий, развития систем автоматизированного сбора данных коммерческого учета электрической (тепловой) энергии в рассматриваемый период до 2030 года можно выделить два основных направления деятельности гарантирующего поставщика и других энергосбытовых компаний на рынке, а также системы ценообразования и мониторинга:</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в отношении обслуживания группы «Население и приравненные к ним категории потребителей»;</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в отношении обслуживания юридических лиц.</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В отношении обслуживания группы «Население» гарантирующий поставщик Республики Татарстан – АО «Татэнергосбыт» выполняет функции Единого расчетного центра и обеспечивает прием коммунальных платежей (в том числе за электрическую и тепловую энергию) от населения с последующим автоматическим расщеплением – перечислением поступивших денежных средств ресурсоснабжающим и управляющим компаниям, исполнителям услуг.</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В соответствии с Федеральным законом от 26 марта 2003 года № 35-ФЗ</w:t>
            </w:r>
            <w:r w:rsidRPr="00C44DE6">
              <w:rPr>
                <w:rFonts w:ascii="Times New Roman" w:eastAsia="Times New Roman" w:hAnsi="Times New Roman" w:cs="Times New Roman"/>
                <w:sz w:val="24"/>
                <w:szCs w:val="24"/>
                <w:lang w:eastAsia="ru-RU"/>
              </w:rPr>
              <w:br/>
              <w:t xml:space="preserve">«Об электроэнергетике» гарантирующий поставщик обязан с 1 июля 2020 года обеспечить оборудование многоквартирных жилых домов интеллектуальными приборами учета. </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Одновременно гарантирующим поставщиком должна быть создана собственная интеллектуальная система учета электрической энергии, функционирующая на основе установленных «умных» счетчиков.</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Всего в рамках данной работы планируется установить более 1,2 млн приборов учета.</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 xml:space="preserve">В отношении обслуживания юридических лиц до 2030 года, в части расчета и утверждения стоимости услуг (сбытовой надбавки) гарантирующего поставщика, а также в части изменения критериев работы на розничном и оптовом рынках, возможны снижение доли объемов продаж гарантирующего поставщика до 40 процентов (по состоянию на 2018 год эта доля составляла порядка 70 процентов) и рост количества конкурентных энергосбытовых компаний. </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 xml:space="preserve">Ежемесячно Государственным комитетом Республики Татарстан по тарифам и гарантирующим поставщиком Республики Татарстан – АО «Татэнергосбыт» проводится ценовой мониторинг на предмет фактического и прогнозируемого роста цен и относительно среднероссийского уровня, а также мониторинг уровня инфляции. </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 xml:space="preserve">С учетом развития интеллектуальных систем учета потребления электрической энергии в АО «Татэнергосбыт» будет установлено современное программное обеспечение для реализации биллинговых задач, повышения качества обслуживания всех групп потребителей и надежности энергоснабжения. </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До 2030 года прогнозируется развитие дополнительных сервисов и возможностей для потребителей: микрогенерация, накопление электрической энергии, управление спросом, развитие сети электрических заправок для электромобилей и другие.</w:t>
            </w:r>
          </w:p>
          <w:p w:rsidR="001112C7" w:rsidRPr="00D423B2" w:rsidRDefault="001112C7" w:rsidP="001112C7">
            <w:pPr>
              <w:shd w:val="clear" w:color="auto" w:fill="FFFFFF"/>
              <w:ind w:firstLine="709"/>
              <w:jc w:val="both"/>
              <w:rPr>
                <w:rFonts w:ascii="Times New Roman" w:eastAsia="Times New Roman" w:hAnsi="Times New Roman" w:cs="Times New Roman"/>
                <w:sz w:val="24"/>
                <w:szCs w:val="24"/>
                <w:lang w:eastAsia="ru-RU"/>
              </w:rPr>
            </w:pPr>
          </w:p>
          <w:p w:rsidR="00795644" w:rsidRPr="00D423B2" w:rsidRDefault="00795644" w:rsidP="00B71A70">
            <w:pPr>
              <w:widowControl w:val="0"/>
              <w:autoSpaceDE w:val="0"/>
              <w:autoSpaceDN w:val="0"/>
              <w:jc w:val="center"/>
              <w:outlineLvl w:val="3"/>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4.3. Энергосбережение и повышение энергетической эффективности</w:t>
            </w:r>
          </w:p>
          <w:p w:rsidR="00795644" w:rsidRPr="00D423B2" w:rsidRDefault="00795644" w:rsidP="00795644">
            <w:pPr>
              <w:autoSpaceDE w:val="0"/>
              <w:autoSpaceDN w:val="0"/>
              <w:adjustRightInd w:val="0"/>
              <w:ind w:firstLine="709"/>
              <w:jc w:val="both"/>
              <w:rPr>
                <w:rFonts w:ascii="Times New Roman" w:eastAsia="Times New Roman" w:hAnsi="Times New Roman" w:cs="Times New Roman"/>
                <w:sz w:val="24"/>
                <w:szCs w:val="24"/>
                <w:lang w:eastAsia="ru-RU"/>
              </w:rPr>
            </w:pPr>
          </w:p>
          <w:p w:rsidR="00B71A70" w:rsidRPr="00B71A70" w:rsidRDefault="00B71A70" w:rsidP="00B71A70">
            <w:pPr>
              <w:shd w:val="clear" w:color="auto" w:fill="FFFFFF"/>
              <w:ind w:firstLine="709"/>
              <w:jc w:val="both"/>
              <w:rPr>
                <w:rFonts w:ascii="Times New Roman" w:eastAsia="Times New Roman" w:hAnsi="Times New Roman" w:cs="Times New Roman"/>
                <w:color w:val="000000" w:themeColor="text1"/>
                <w:sz w:val="24"/>
                <w:szCs w:val="24"/>
                <w:lang w:eastAsia="ru-RU"/>
              </w:rPr>
            </w:pPr>
            <w:r w:rsidRPr="00B71A70">
              <w:rPr>
                <w:rFonts w:ascii="Times New Roman" w:eastAsia="Times New Roman" w:hAnsi="Times New Roman" w:cs="Times New Roman"/>
                <w:color w:val="000000" w:themeColor="text1"/>
                <w:sz w:val="24"/>
                <w:szCs w:val="24"/>
                <w:lang w:eastAsia="ru-RU"/>
              </w:rPr>
              <w:t xml:space="preserve">Для оценки эффективного использования энергоресурсов в Республике Татарстан используется индикатор энергоемкости валового регионального продукта (далее – ВРП) как отношение объемов потребляемых первичных энергоносителей в тоннах условного топлива к ВРП в сопоставимых ценах 2007 года (базовый год), динамика которого представлена на </w:t>
            </w:r>
            <w:hyperlink w:anchor="Par2226" w:tooltip="Рис. 23. Фактическая и прогнозная энергоемкость ВРП" w:history="1">
              <w:r w:rsidRPr="00B71A70">
                <w:rPr>
                  <w:rStyle w:val="a9"/>
                  <w:rFonts w:ascii="Times New Roman" w:eastAsia="Times New Roman" w:hAnsi="Times New Roman" w:cs="Times New Roman"/>
                  <w:color w:val="000000" w:themeColor="text1"/>
                  <w:sz w:val="24"/>
                  <w:szCs w:val="24"/>
                  <w:u w:val="none"/>
                  <w:lang w:eastAsia="ru-RU"/>
                </w:rPr>
                <w:t xml:space="preserve">рисунке </w:t>
              </w:r>
            </w:hyperlink>
            <w:r w:rsidRPr="00B71A70">
              <w:rPr>
                <w:rFonts w:ascii="Times New Roman" w:eastAsia="Times New Roman" w:hAnsi="Times New Roman" w:cs="Times New Roman"/>
                <w:color w:val="000000" w:themeColor="text1"/>
                <w:sz w:val="24"/>
                <w:szCs w:val="24"/>
                <w:lang w:eastAsia="ru-RU"/>
              </w:rPr>
              <w:t>28.</w:t>
            </w:r>
          </w:p>
          <w:p w:rsidR="00003E96" w:rsidRPr="00B71A70" w:rsidRDefault="00B71A70" w:rsidP="00B71A70">
            <w:pPr>
              <w:shd w:val="clear" w:color="auto" w:fill="FFFFFF"/>
              <w:ind w:firstLine="709"/>
              <w:jc w:val="both"/>
              <w:rPr>
                <w:rFonts w:ascii="Times New Roman" w:eastAsia="Times New Roman" w:hAnsi="Times New Roman" w:cs="Times New Roman"/>
                <w:sz w:val="24"/>
                <w:szCs w:val="24"/>
                <w:lang w:eastAsia="ru-RU"/>
              </w:rPr>
            </w:pPr>
            <w:r w:rsidRPr="00B71A70">
              <w:rPr>
                <w:rFonts w:ascii="Times New Roman" w:eastAsia="Times New Roman" w:hAnsi="Times New Roman" w:cs="Times New Roman"/>
                <w:sz w:val="24"/>
                <w:szCs w:val="24"/>
                <w:lang w:eastAsia="ru-RU"/>
              </w:rPr>
              <w:t>Снижение индикатора энергоемкости ВРП по итогам 2018 года к уровню</w:t>
            </w:r>
            <w:r w:rsidRPr="00B71A70">
              <w:rPr>
                <w:rFonts w:ascii="Times New Roman" w:eastAsia="Times New Roman" w:hAnsi="Times New Roman" w:cs="Times New Roman"/>
                <w:sz w:val="24"/>
                <w:szCs w:val="24"/>
                <w:lang w:eastAsia="ru-RU"/>
              </w:rPr>
              <w:br/>
              <w:t xml:space="preserve">2007 года составило 23,6 процента. </w:t>
            </w:r>
          </w:p>
          <w:p w:rsidR="00795644" w:rsidRPr="00D423B2" w:rsidRDefault="00003E96" w:rsidP="001112C7">
            <w:pPr>
              <w:shd w:val="clear" w:color="auto" w:fill="FFFFFF"/>
              <w:ind w:firstLine="709"/>
              <w:jc w:val="both"/>
              <w:rPr>
                <w:rFonts w:ascii="Times New Roman" w:eastAsia="Times New Roman" w:hAnsi="Times New Roman" w:cs="Times New Roman"/>
                <w:sz w:val="28"/>
                <w:szCs w:val="28"/>
                <w:lang w:eastAsia="ru-RU"/>
              </w:rPr>
            </w:pPr>
            <w:r w:rsidRPr="00D423B2">
              <w:rPr>
                <w:rFonts w:ascii="Times New Roman" w:eastAsia="Times New Roman" w:hAnsi="Times New Roman" w:cs="Times New Roman"/>
                <w:noProof/>
                <w:sz w:val="28"/>
                <w:szCs w:val="28"/>
                <w:lang w:eastAsia="ru-RU"/>
              </w:rPr>
              <w:drawing>
                <wp:inline distT="0" distB="0" distL="0" distR="0" wp14:anchorId="25CC5DE2" wp14:editId="2C3A61C6">
                  <wp:extent cx="2455545" cy="952500"/>
                  <wp:effectExtent l="0" t="0" r="190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80477" cy="962171"/>
                          </a:xfrm>
                          <a:prstGeom prst="rect">
                            <a:avLst/>
                          </a:prstGeom>
                          <a:noFill/>
                        </pic:spPr>
                      </pic:pic>
                    </a:graphicData>
                  </a:graphic>
                </wp:inline>
              </w:drawing>
            </w:r>
          </w:p>
          <w:p w:rsidR="00D144FF" w:rsidRPr="00D423B2" w:rsidRDefault="00D144FF" w:rsidP="001112C7">
            <w:pPr>
              <w:shd w:val="clear" w:color="auto" w:fill="FFFFFF"/>
              <w:ind w:firstLine="709"/>
              <w:jc w:val="both"/>
              <w:rPr>
                <w:rFonts w:ascii="Times New Roman" w:eastAsia="Times New Roman" w:hAnsi="Times New Roman" w:cs="Times New Roman"/>
                <w:sz w:val="28"/>
                <w:szCs w:val="28"/>
                <w:lang w:eastAsia="ru-RU"/>
              </w:rPr>
            </w:pPr>
          </w:p>
          <w:p w:rsidR="004C41CB" w:rsidRPr="004C41CB" w:rsidRDefault="004C41CB" w:rsidP="004C41CB">
            <w:pPr>
              <w:autoSpaceDE w:val="0"/>
              <w:autoSpaceDN w:val="0"/>
              <w:adjustRightInd w:val="0"/>
              <w:jc w:val="center"/>
              <w:rPr>
                <w:rFonts w:ascii="Times New Roman" w:eastAsia="Times New Roman" w:hAnsi="Times New Roman" w:cs="Times New Roman"/>
                <w:sz w:val="16"/>
                <w:szCs w:val="16"/>
                <w:lang w:eastAsia="ru-RU"/>
              </w:rPr>
            </w:pPr>
            <w:r w:rsidRPr="004C41CB">
              <w:rPr>
                <w:rFonts w:ascii="Times New Roman" w:eastAsia="Times New Roman" w:hAnsi="Times New Roman" w:cs="Times New Roman"/>
                <w:sz w:val="16"/>
                <w:szCs w:val="16"/>
                <w:lang w:eastAsia="ru-RU"/>
              </w:rPr>
              <w:t>Рис. 28. Фактическая и прогнозная энергоемкость ВРП РТ в сопоставимых ценах 2007 года по первичным энергоносителям (тонн условного топлива/млн рублей)</w:t>
            </w:r>
          </w:p>
          <w:p w:rsidR="001112C7" w:rsidRPr="00D423B2" w:rsidRDefault="001112C7" w:rsidP="00DA3645">
            <w:pPr>
              <w:ind w:firstLine="709"/>
              <w:contextualSpacing/>
              <w:jc w:val="both"/>
              <w:rPr>
                <w:rFonts w:ascii="Times New Roman" w:eastAsia="Times New Roman" w:hAnsi="Times New Roman" w:cs="Times New Roman"/>
                <w:sz w:val="24"/>
                <w:szCs w:val="24"/>
                <w:lang w:eastAsia="ru-RU"/>
              </w:rPr>
            </w:pP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Долгосрочные перспективы роста экономики и благосостояния граждан Республики Татарстан предопределяют увеличение спроса на энергетические ресурсы.</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Ориентация экономики республики на энергоемкий рост, не подкрепленный широкомасштабным внедрением энергоэффективных технологий, угрожает, с одной стороны, потерей конкурентоспособности производственного сектора республики, а с другой – лавинообразной интенсификацией внутреннего спроса на энергоресурсы. В результате этого даже при достижении максимальных технически реализуемых показателей роста производства энергоресурсов спрос на них не будет обеспечен предложением. Такой путь развития неминуемо влечет за собой кризис дефицита энергетических ресурсов.</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В этих условиях особое значение приобретает реализация государственной республиканской политики управления спросом на энергетические ресурсы и энергоэффективности.</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За последнее десятилетие только наиболее энергоемкие промышленные предприятия республики активно занимались внедрением энергосберегающих производственных технологий.</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При сохранении среднегодовых темпов снижения энергоемкости ВРП Республики Татарстан на уровне, достигнутом в период 2015 – 2018 годов, показатель энергоемкости ВРП составит 20,56 тут/млн руб. к 2025 году и</w:t>
            </w:r>
            <w:r w:rsidRPr="0045577E">
              <w:rPr>
                <w:rFonts w:ascii="Times New Roman" w:eastAsia="Times New Roman" w:hAnsi="Times New Roman" w:cs="Times New Roman"/>
                <w:sz w:val="24"/>
                <w:szCs w:val="24"/>
                <w:lang w:eastAsia="ru-RU"/>
              </w:rPr>
              <w:br/>
              <w:t>20,25 тут/млн руб. к 2030 году</w:t>
            </w:r>
            <w:r w:rsidRPr="0045577E">
              <w:rPr>
                <w:rFonts w:ascii="Times New Roman" w:eastAsia="Times New Roman" w:hAnsi="Times New Roman" w:cs="Times New Roman"/>
                <w:i/>
                <w:sz w:val="24"/>
                <w:szCs w:val="24"/>
                <w:lang w:eastAsia="ru-RU"/>
              </w:rPr>
              <w:t>.</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Особое внимание следует уделить внедрению мероприятий, позволяющих обеспечить снижение потребления электрической энергии и газа.</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Повышение энергоэффективности достигается не только за счет привлечения финансовых ресурсов и правильных технических решений, но и за счет планирования, управления и контроля.</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В республике необходимо продолжить работу по совершенствованию системы индикативного управления энергоэффективностью. На основе индикаторов энергоэффективности определяются действия органов исполнительной власти и органов местного самоуправления по их снижению.</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Прямое бюджетное финансирование мероприятий по энергосбережению редко приводит к значительным долговременным результатам, так как не выполняется мониторинг осуществляемых проектов с оценкой реального экономического эффекта и отчуждением сэкономленных средств из общего финансового оборота для компенсации затрат, поощрения персонала и выполнения последующих мероприятий.</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Необходимы усилия для привлечения внебюджетных финансовых средств, которые позволили бы повысить эксплуатационную надежность и энергетическую эффективность объектов реального сектора экономики и бюджетной сферы. Одним из механизмов, решающих поставленную задачу, может стать привлечение внебюджетных средств по схеме энергосервисного контракта.</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Важным инструментом государственной политики является поддержка и стимулирование эффективного бизнеса в области энергосбережения. Необходимо вывести поддержку энергосберегающего бизнеса на качественно новый уровень, предполагающий переход от прямой финансовой помощи со стороны государства на льготных условиях к формированию системы реализации эффективных бизнес-проектов в соответствующей сфере, страхования коммерческих и некоммерческих рисков.</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Необходимо также продолжить участие Республики Татарстан в государственных программах Российской Федерации, направленных на поддержку развития энергосбережения в регионах, в том числе с максимальным участием внебюджетных финансовых организаций.</w:t>
            </w:r>
          </w:p>
          <w:p w:rsidR="00B61D85" w:rsidRPr="00D423B2" w:rsidRDefault="00B61D85" w:rsidP="00B04017">
            <w:pPr>
              <w:shd w:val="clear" w:color="auto" w:fill="FFFFFF"/>
              <w:ind w:firstLine="709"/>
              <w:jc w:val="both"/>
              <w:rPr>
                <w:rFonts w:ascii="Times New Roman" w:eastAsia="Times New Roman" w:hAnsi="Times New Roman" w:cs="Times New Roman"/>
                <w:sz w:val="24"/>
                <w:szCs w:val="24"/>
                <w:lang w:eastAsia="ru-RU"/>
              </w:rPr>
            </w:pPr>
          </w:p>
          <w:p w:rsidR="00B61D85" w:rsidRPr="006E310A" w:rsidRDefault="00B61D85" w:rsidP="00697DE6">
            <w:pPr>
              <w:shd w:val="clear" w:color="auto" w:fill="FFFFFF"/>
              <w:ind w:firstLine="709"/>
              <w:jc w:val="both"/>
              <w:rPr>
                <w:rFonts w:ascii="Times New Roman" w:eastAsia="Times New Roman" w:hAnsi="Times New Roman" w:cs="Times New Roman"/>
                <w:b/>
                <w:color w:val="000000" w:themeColor="text1"/>
                <w:sz w:val="24"/>
                <w:szCs w:val="24"/>
                <w:lang w:eastAsia="ru-RU"/>
              </w:rPr>
            </w:pPr>
            <w:r w:rsidRPr="006E310A">
              <w:rPr>
                <w:rFonts w:ascii="Times New Roman" w:eastAsia="Times New Roman" w:hAnsi="Times New Roman" w:cs="Times New Roman"/>
                <w:b/>
                <w:color w:val="000000" w:themeColor="text1"/>
                <w:sz w:val="24"/>
                <w:szCs w:val="24"/>
                <w:lang w:eastAsia="ru-RU"/>
              </w:rPr>
              <w:t>4.4. Использование нетрадиционных и возобновляемых</w:t>
            </w:r>
            <w:r w:rsidR="00697DE6" w:rsidRPr="006E310A">
              <w:rPr>
                <w:rFonts w:ascii="Times New Roman" w:eastAsia="Times New Roman" w:hAnsi="Times New Roman" w:cs="Times New Roman"/>
                <w:b/>
                <w:color w:val="000000" w:themeColor="text1"/>
                <w:sz w:val="24"/>
                <w:szCs w:val="24"/>
                <w:lang w:eastAsia="ru-RU"/>
              </w:rPr>
              <w:t xml:space="preserve"> </w:t>
            </w:r>
            <w:r w:rsidRPr="006E310A">
              <w:rPr>
                <w:rFonts w:ascii="Times New Roman" w:eastAsia="Times New Roman" w:hAnsi="Times New Roman" w:cs="Times New Roman"/>
                <w:b/>
                <w:color w:val="000000" w:themeColor="text1"/>
                <w:sz w:val="24"/>
                <w:szCs w:val="24"/>
                <w:lang w:eastAsia="ru-RU"/>
              </w:rPr>
              <w:t>источников энергии</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Развитие энергетики на основе использования возобновляемых источников энергии является составной частью энергетической политики Российской Федерации. И если традиционная энергетика основана на применении ископаемого топлива, запасы которого ограничены, и зависит от величины поставок и конъюнктуры рынка, то возобновляемая энергетика базируется на самых разных природных ресурсах, что позволяет более эффективно использовать невозобновляемые ресурсы в других отраслях экономики. Кроме того, при использовании возобновляемых источников энергии отсутствуют экологические издержки, связанные с добычей, переработкой и транспортировкой ископаемого топлива.</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Ситуация с использованием возобновляемых источников энергии (далее – ВИЭ) за последние 10 лет существенно изменилась, начиная с 2015 года в мире ежегодно вводится больше новых генерирующих мощностей на основе ВИЭ, чем на основе традиционной генерации с использованием ископаемых видов топлива (газ, уголь, мазут). Так, из введенных в эксплуатацию в 2015 году объектов генерации</w:t>
            </w:r>
            <w:r w:rsidRPr="00C953F3">
              <w:rPr>
                <w:rFonts w:ascii="Times New Roman" w:eastAsia="Times New Roman" w:hAnsi="Times New Roman" w:cs="Times New Roman"/>
                <w:sz w:val="24"/>
                <w:szCs w:val="24"/>
                <w:lang w:eastAsia="ru-RU"/>
              </w:rPr>
              <w:br/>
              <w:t xml:space="preserve">54 процента составили объекты на основе ВИЭ и 46 процентов – на основе традиционной генерации, а в 2016 году это соотношение уже составило 65 процентов – объекты на основе ВИЭ и 35 процентов – объекты на основе традиционной генерации. В 2018 году в мире было введено в эксплуатацию 60 процентов объектов генерации на основе ВИЭ и 40 процентов объектов генерации на основе традиционной генерации. Эти показатели обоснованы не только экологическими аспектами использования ВИЭ, но и технологическим развитием этой отрасли, которое привело к тому, что средняя нормированная стоимость электроэнергии на протяжении всего жизненного цикла электростанции (далее – LCOE), вырабатываемой с использованием ВИЭ, продолжает устойчиво снижаться. </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Снижение LCOE в солнечной энергетике промышленного масштаба в период 2010 – 2017 годов составило 73 процента: в 2017 году, по оценкам Международного агентства по возобновляемым источникам энергии «IRENA», эта стоимость достигла 10 центов за киловатт-час. В материковой ветроэнергетике LCOE снизилась за тот же период на 23 процента,  LCOE киловатт-часа составляет около 6 центов. В 2019 году ожидается, что лучшие проекты в солнечной и ветровой энергетике будут поставлять электроэнергию по цене около 3 центов за киловатт-час и ниже. Новые проекты в био- и геотермальной энергетике, введенные в эксплуатацию в 2017 году, имеют LCOE в 7 центов за киловатт-час.</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В солнечной энергетике в среднем по миру коэффициент использования установленной мощности (далее – КИУМ) вырос и достиг величины 17,6 процента; в материковой ветроэнергетике среднемировой КИУМ вырос с 27 до 30 процентов. В офшорной ветроэнергетике он составляет 39 процентов.</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 xml:space="preserve">При этом нужно отметить, что государственная поддержка «зеленых технологий» во многих развитых странах существенно сокращается, а в 2018 году были введены в эксплуатацию первые объекты генерации на основе ВИЭ без использования субсидий и мер государственной поддержки, что говорит о рыночной конкурентоспособности технологий генерации на основе ВИЭ. </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 xml:space="preserve">В 2013 году в Российской Федерации начали предприниматься первые реальные шаги, направленные на расширение производства электроэнергии на основе ВИЭ. Начата реализация проектов на оптовом рынке электроэнергии и мощности за счет мер государственного стимулирования – механизма договоров на поставку мощности (далее – ДПМ) для энергоисточников на основе ВИЭ. На оптовом рынке электроэнергии и мощности могут эффективно работать и развиваться проекты, которые прошли конкурсный отбор по программе ДПМ ВИЭ. </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За 2015 – 2018 годы суммарный объем ввода объектов солнечной и ветровой генерации в России составил около 620 МВт (в пределах ЕЭС России), из которых 85 процентов пришлось на солнечные станции, 15 процентов – на ветровые станции. За 2017 год в России было построено больше мощностей возобновляемых источников энергии, чем за предыдущие два года: в 2015 – 2016 годах было введено 130 МВт ВИЭ, а в 2017 году – 140 МВт, из них более 100 МВт приходятся на солнечные электростанции, 35 МВт – на первый крупный ветропарк. </w:t>
            </w:r>
          </w:p>
          <w:p w:rsidR="00B04017" w:rsidRPr="00D423B2" w:rsidRDefault="00B04017" w:rsidP="00DA3645">
            <w:pPr>
              <w:ind w:firstLine="709"/>
              <w:contextualSpacing/>
              <w:jc w:val="both"/>
              <w:rPr>
                <w:rFonts w:ascii="Times New Roman" w:eastAsia="Times New Roman" w:hAnsi="Times New Roman" w:cs="Times New Roman"/>
                <w:sz w:val="24"/>
                <w:szCs w:val="24"/>
                <w:lang w:eastAsia="ru-RU"/>
              </w:rPr>
            </w:pPr>
          </w:p>
          <w:p w:rsidR="00DA3645" w:rsidRPr="00D423B2" w:rsidRDefault="00DA3645" w:rsidP="00D2265E">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p>
          <w:p w:rsidR="00344AF9" w:rsidRPr="00D423B2" w:rsidRDefault="00344AF9" w:rsidP="00D7652C">
            <w:pPr>
              <w:autoSpaceDE w:val="0"/>
              <w:autoSpaceDN w:val="0"/>
              <w:adjustRightInd w:val="0"/>
              <w:ind w:firstLine="709"/>
              <w:jc w:val="both"/>
              <w:rPr>
                <w:rFonts w:ascii="Times New Roman" w:eastAsia="Times New Roman" w:hAnsi="Times New Roman" w:cs="Times New Roman"/>
                <w:sz w:val="24"/>
                <w:szCs w:val="24"/>
                <w:lang w:eastAsia="ru-RU"/>
              </w:rPr>
            </w:pPr>
          </w:p>
          <w:p w:rsidR="005E1848" w:rsidRPr="00D423B2" w:rsidRDefault="00EE4950" w:rsidP="005E1848">
            <w:pPr>
              <w:autoSpaceDE w:val="0"/>
              <w:autoSpaceDN w:val="0"/>
              <w:adjustRightInd w:val="0"/>
              <w:jc w:val="center"/>
              <w:outlineLvl w:val="2"/>
              <w:rPr>
                <w:rFonts w:ascii="Times New Roman" w:eastAsia="Times New Roman" w:hAnsi="Times New Roman" w:cs="Times New Roman"/>
                <w:sz w:val="16"/>
                <w:szCs w:val="16"/>
                <w:lang w:eastAsia="ru-RU"/>
              </w:rPr>
            </w:pPr>
            <w:r w:rsidRPr="00D423B2">
              <w:rPr>
                <w:rFonts w:ascii="Times New Roman" w:eastAsia="Times New Roman" w:hAnsi="Times New Roman" w:cs="Times New Roman"/>
                <w:noProof/>
                <w:sz w:val="16"/>
                <w:szCs w:val="16"/>
                <w:lang w:eastAsia="ru-RU"/>
              </w:rPr>
              <w:drawing>
                <wp:inline distT="0" distB="0" distL="0" distR="0" wp14:anchorId="56C5A505" wp14:editId="7758A494">
                  <wp:extent cx="2799715" cy="958725"/>
                  <wp:effectExtent l="0" t="0" r="635"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23490" cy="966866"/>
                          </a:xfrm>
                          <a:prstGeom prst="rect">
                            <a:avLst/>
                          </a:prstGeom>
                          <a:noFill/>
                        </pic:spPr>
                      </pic:pic>
                    </a:graphicData>
                  </a:graphic>
                </wp:inline>
              </w:drawing>
            </w:r>
          </w:p>
          <w:p w:rsidR="00EA7711" w:rsidRPr="00EA7711" w:rsidRDefault="00EA7711" w:rsidP="00EA7711">
            <w:pPr>
              <w:autoSpaceDE w:val="0"/>
              <w:autoSpaceDN w:val="0"/>
              <w:adjustRightInd w:val="0"/>
              <w:jc w:val="center"/>
              <w:outlineLvl w:val="2"/>
              <w:rPr>
                <w:rFonts w:ascii="Times New Roman" w:eastAsia="Times New Roman" w:hAnsi="Times New Roman" w:cs="Times New Roman"/>
                <w:sz w:val="16"/>
                <w:szCs w:val="16"/>
                <w:lang w:eastAsia="ru-RU"/>
              </w:rPr>
            </w:pPr>
            <w:r w:rsidRPr="00EA7711">
              <w:rPr>
                <w:rFonts w:ascii="Times New Roman" w:eastAsia="Times New Roman" w:hAnsi="Times New Roman" w:cs="Times New Roman"/>
                <w:sz w:val="16"/>
                <w:szCs w:val="16"/>
                <w:lang w:eastAsia="ru-RU"/>
              </w:rPr>
              <w:t>Рис. 29. Ввод в строй мощностей ВИЭ-генерации в ЕЭС России через механизм ДПМ ВИЭ</w:t>
            </w:r>
          </w:p>
          <w:p w:rsidR="00EE4950" w:rsidRPr="00D423B2" w:rsidRDefault="00EE4950" w:rsidP="005E1848">
            <w:pPr>
              <w:autoSpaceDE w:val="0"/>
              <w:autoSpaceDN w:val="0"/>
              <w:adjustRightInd w:val="0"/>
              <w:jc w:val="center"/>
              <w:outlineLvl w:val="2"/>
              <w:rPr>
                <w:rFonts w:ascii="Times New Roman" w:eastAsia="Times New Roman" w:hAnsi="Times New Roman" w:cs="Times New Roman"/>
                <w:sz w:val="16"/>
                <w:szCs w:val="16"/>
                <w:lang w:eastAsia="ru-RU"/>
              </w:rPr>
            </w:pPr>
          </w:p>
          <w:p w:rsidR="00B745E2" w:rsidRPr="00B745E2" w:rsidRDefault="00B745E2" w:rsidP="00B745E2">
            <w:pPr>
              <w:ind w:firstLine="709"/>
              <w:jc w:val="both"/>
              <w:rPr>
                <w:rFonts w:ascii="Times New Roman" w:eastAsia="Times New Roman" w:hAnsi="Times New Roman" w:cs="Times New Roman"/>
                <w:sz w:val="24"/>
                <w:szCs w:val="24"/>
                <w:lang w:eastAsia="ru-RU"/>
              </w:rPr>
            </w:pPr>
            <w:r w:rsidRPr="00B745E2">
              <w:rPr>
                <w:rFonts w:ascii="Times New Roman" w:eastAsia="Times New Roman" w:hAnsi="Times New Roman" w:cs="Times New Roman"/>
                <w:sz w:val="24"/>
                <w:szCs w:val="24"/>
                <w:lang w:eastAsia="ru-RU"/>
              </w:rPr>
              <w:t>По результатам конкурсных отборов по программе ДПМ ВИЭ к 2024 году в России будет построено 3,3 ГВт мощностей генерации на основе энергии ветра,</w:t>
            </w:r>
            <w:r w:rsidRPr="00B745E2">
              <w:rPr>
                <w:rFonts w:ascii="Times New Roman" w:eastAsia="Times New Roman" w:hAnsi="Times New Roman" w:cs="Times New Roman"/>
                <w:sz w:val="24"/>
                <w:szCs w:val="24"/>
                <w:lang w:eastAsia="ru-RU"/>
              </w:rPr>
              <w:br/>
              <w:t xml:space="preserve">1,8 ГВт мощностей на основе энергии солнца и более 0,4 ГВт генерации на основе использования ТБО. </w:t>
            </w:r>
          </w:p>
          <w:p w:rsidR="00B745E2" w:rsidRPr="00B745E2" w:rsidRDefault="00B745E2" w:rsidP="00B745E2">
            <w:pPr>
              <w:ind w:firstLine="709"/>
              <w:jc w:val="both"/>
              <w:rPr>
                <w:rFonts w:ascii="Times New Roman" w:eastAsia="Times New Roman" w:hAnsi="Times New Roman" w:cs="Times New Roman"/>
                <w:sz w:val="24"/>
                <w:szCs w:val="24"/>
                <w:lang w:eastAsia="ru-RU"/>
              </w:rPr>
            </w:pPr>
            <w:r w:rsidRPr="00B745E2">
              <w:rPr>
                <w:rFonts w:ascii="Times New Roman" w:eastAsia="Times New Roman" w:hAnsi="Times New Roman" w:cs="Times New Roman"/>
                <w:sz w:val="24"/>
                <w:szCs w:val="24"/>
                <w:lang w:eastAsia="ru-RU"/>
              </w:rPr>
              <w:t>Развитие проектов ВИЭ на розничных рынках электроэнергии нацелено в первую очередь на энергоснабжение изолированных и труднодоступных населенных пунктов.</w:t>
            </w:r>
          </w:p>
          <w:p w:rsidR="00B745E2" w:rsidRPr="00B745E2" w:rsidRDefault="00B745E2" w:rsidP="00B745E2">
            <w:pPr>
              <w:ind w:firstLine="709"/>
              <w:jc w:val="both"/>
              <w:rPr>
                <w:rFonts w:ascii="Times New Roman" w:eastAsia="Times New Roman" w:hAnsi="Times New Roman" w:cs="Times New Roman"/>
                <w:sz w:val="24"/>
                <w:szCs w:val="24"/>
                <w:lang w:eastAsia="ru-RU"/>
              </w:rPr>
            </w:pPr>
            <w:r w:rsidRPr="00B745E2">
              <w:rPr>
                <w:rFonts w:ascii="Times New Roman" w:eastAsia="Times New Roman" w:hAnsi="Times New Roman" w:cs="Times New Roman"/>
                <w:sz w:val="24"/>
                <w:szCs w:val="24"/>
                <w:lang w:eastAsia="ru-RU"/>
              </w:rPr>
              <w:t xml:space="preserve">На розничном рынке электроэнергии поддержка объектов ВИЭ возможна путем включения объектов ВИЭ-генерации в региональные схемы и программы развития электроэнергетики и формирования для них долгосрочных тарифов с обязанностью сетевой компании покупать электроэнергию на компенсацию потерь. При этом важной составляющей является минимизация роста тарифов на электрическую энергию для потребителей. </w:t>
            </w:r>
          </w:p>
          <w:p w:rsidR="00B745E2" w:rsidRPr="00B745E2" w:rsidRDefault="00B745E2" w:rsidP="00B745E2">
            <w:pPr>
              <w:ind w:firstLine="709"/>
              <w:jc w:val="both"/>
              <w:rPr>
                <w:rFonts w:ascii="Times New Roman" w:eastAsia="Times New Roman" w:hAnsi="Times New Roman" w:cs="Times New Roman"/>
                <w:sz w:val="24"/>
                <w:szCs w:val="24"/>
                <w:lang w:eastAsia="ru-RU"/>
              </w:rPr>
            </w:pPr>
            <w:r w:rsidRPr="00B745E2">
              <w:rPr>
                <w:rFonts w:ascii="Times New Roman" w:eastAsia="Times New Roman" w:hAnsi="Times New Roman" w:cs="Times New Roman"/>
                <w:sz w:val="24"/>
                <w:szCs w:val="24"/>
                <w:lang w:eastAsia="ru-RU"/>
              </w:rPr>
              <w:t xml:space="preserve">В настоящее время в Российской Федерации также рассматривается развитие рынка распределенной микрогенерации электроэнергии на основе ВИЭ, предусматривающего использование потребителями объектов по производству электроэнергии мощностью до 15 кВт включительно для собственного энергоснабжения и возможность продажи излишков вырабатываемой электроэнергии на розничном рынке. </w:t>
            </w:r>
          </w:p>
          <w:p w:rsidR="00B745E2" w:rsidRPr="00B745E2" w:rsidRDefault="00B745E2" w:rsidP="00B745E2">
            <w:pPr>
              <w:ind w:firstLine="709"/>
              <w:jc w:val="both"/>
              <w:rPr>
                <w:rFonts w:ascii="Times New Roman" w:eastAsia="Times New Roman" w:hAnsi="Times New Roman" w:cs="Times New Roman"/>
                <w:sz w:val="24"/>
                <w:szCs w:val="24"/>
                <w:lang w:eastAsia="ru-RU"/>
              </w:rPr>
            </w:pPr>
            <w:r w:rsidRPr="00B745E2">
              <w:rPr>
                <w:rFonts w:ascii="Times New Roman" w:eastAsia="Times New Roman" w:hAnsi="Times New Roman" w:cs="Times New Roman"/>
                <w:sz w:val="24"/>
                <w:szCs w:val="24"/>
                <w:lang w:eastAsia="ru-RU"/>
              </w:rPr>
              <w:t xml:space="preserve">Основным потенциалом для развития микрогенерации на ВИЭ обладают частные дома в сельских населенных пунктах, дачные поселения, а также небольшие производственные поселения промышленного или сельскохозяйственного назначения. </w:t>
            </w:r>
          </w:p>
          <w:p w:rsidR="00EE4950" w:rsidRPr="00D423B2" w:rsidRDefault="00EE4950" w:rsidP="00EE4950">
            <w:pPr>
              <w:ind w:firstLine="709"/>
              <w:jc w:val="both"/>
              <w:rPr>
                <w:rFonts w:ascii="Times New Roman" w:eastAsia="Times New Roman" w:hAnsi="Times New Roman" w:cs="Times New Roman"/>
                <w:b/>
                <w:sz w:val="24"/>
                <w:szCs w:val="24"/>
              </w:rPr>
            </w:pPr>
          </w:p>
          <w:p w:rsidR="00EE4950" w:rsidRPr="00D423B2" w:rsidRDefault="00EE4950" w:rsidP="00EE4950">
            <w:pPr>
              <w:ind w:firstLine="709"/>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4.4.1. Ветроэнергетика</w:t>
            </w:r>
          </w:p>
          <w:p w:rsidR="00EE4950" w:rsidRPr="00D423B2" w:rsidRDefault="00EE4950" w:rsidP="00EE4950">
            <w:pPr>
              <w:ind w:firstLine="709"/>
              <w:jc w:val="both"/>
              <w:rPr>
                <w:rFonts w:ascii="Times New Roman" w:eastAsia="Times New Roman" w:hAnsi="Times New Roman" w:cs="Times New Roman"/>
                <w:sz w:val="24"/>
                <w:szCs w:val="24"/>
                <w:lang w:eastAsia="ru-RU"/>
              </w:rPr>
            </w:pP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 xml:space="preserve">Согласно государственной программе поддержки ВИЭ к 2024 году в эксплуатацию в России должно быть введено 3 350 МВт мощностей ветрогенерации, в том числе 100 МВт на территории Республики Татарстан в 2022 году. Основным условием для предоставления государственной поддержки являются требования по локализации оборудования ВЭУ до установленных Правительством Российской Федерации значений. К началу 2019 года по ДПМ ВИЭ введены в эксплуатацию два ветропарка с суммарной мощностью 85 МВт в Ульяновской области.  </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 xml:space="preserve"> В настоящее время рассматривается продление программы ДПМ ВИЭ </w:t>
            </w:r>
            <w:r w:rsidRPr="002E38F7">
              <w:rPr>
                <w:rFonts w:ascii="Times New Roman" w:eastAsia="Times New Roman" w:hAnsi="Times New Roman" w:cs="Times New Roman"/>
                <w:sz w:val="24"/>
                <w:szCs w:val="24"/>
                <w:lang w:eastAsia="ru-RU"/>
              </w:rPr>
              <w:br/>
              <w:t>до 2035 года с увеличением объемов ввода новой генерации на основе ВИЭ не менее</w:t>
            </w:r>
            <w:r w:rsidRPr="002E38F7">
              <w:rPr>
                <w:rFonts w:ascii="Times New Roman" w:eastAsia="Times New Roman" w:hAnsi="Times New Roman" w:cs="Times New Roman"/>
                <w:sz w:val="24"/>
                <w:szCs w:val="24"/>
                <w:lang w:eastAsia="ru-RU"/>
              </w:rPr>
              <w:br/>
              <w:t>10 ГВт.</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Основными девелоперами оптового рынка ветроэнергетики в Российской Федерации являются: ООО «Ветропарки ФРВ» – дивизион «Роснано» и «Фортум», АО «Нова Винд» – дивизион Росатома, ПАО «Энел Россия».</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 xml:space="preserve">Использование энергии ветра для промышленного производства электроэнергии является в настоящее время наиболее проработанным направлением использования ВИЭ в Республике Татарстан. </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На рисунке 30 представлена карта распределения среднегодовых скоростей ветров по территории Республики Татарстан. Как видно из рисунка, в Республике Татарстан можно выделить три основных зоны со среднегодовыми скоростями ветра, способными обеспечить коммерческое использование энергии ветра для генерации электроэнергии:</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зона Куйбышевского водохранилища в месте слияния рек Волга и Кама. Средняя годовая скорость ветров в данной зоне на высоте 100 метров по данным VORTEX, составляет 7,15 м/с;</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зона Нижнекамского водохранилища, на берегах которого возможно строительство ветроэлектростанций.  Средняя годовая скорость ветров в данной зоне на высоте 100 метров, по данным VORTEX, составляет 7,08 м/с;</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 xml:space="preserve"> юго-восточная часть республики. В данной зоне также преобладают ветры со скоростью выше 7 м/с, однако этот район имеет холмистый рельеф и на его территории сильно развита инфраструктура нефтедобычи, что накладывает определенные сложности для проектирования и строительства крупных промышленных ветропарков.</w:t>
            </w:r>
          </w:p>
          <w:p w:rsidR="002023B3" w:rsidRPr="00D423B2" w:rsidRDefault="002023B3" w:rsidP="003F55FC">
            <w:pPr>
              <w:pStyle w:val="1"/>
              <w:jc w:val="both"/>
              <w:rPr>
                <w:rFonts w:ascii="Times New Roman" w:hAnsi="Times New Roman"/>
                <w:sz w:val="24"/>
                <w:szCs w:val="24"/>
                <w:lang w:val="ru-RU" w:eastAsia="ru-RU"/>
              </w:rPr>
            </w:pPr>
          </w:p>
          <w:p w:rsidR="002023B3" w:rsidRPr="00D423B2" w:rsidRDefault="002023B3" w:rsidP="00EF3839">
            <w:pPr>
              <w:pStyle w:val="1"/>
              <w:ind w:firstLine="709"/>
              <w:jc w:val="both"/>
              <w:rPr>
                <w:rFonts w:ascii="Times New Roman" w:hAnsi="Times New Roman"/>
                <w:sz w:val="28"/>
                <w:szCs w:val="28"/>
                <w:lang w:val="ru-RU" w:eastAsia="ru-RU"/>
              </w:rPr>
            </w:pPr>
          </w:p>
          <w:p w:rsidR="00EE4950" w:rsidRPr="00D423B2" w:rsidRDefault="002023B3" w:rsidP="002023B3">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1EAEB3F5" wp14:editId="2F3A90F3">
                  <wp:extent cx="2441818" cy="123825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81568" cy="1258407"/>
                          </a:xfrm>
                          <a:prstGeom prst="rect">
                            <a:avLst/>
                          </a:prstGeom>
                          <a:noFill/>
                        </pic:spPr>
                      </pic:pic>
                    </a:graphicData>
                  </a:graphic>
                </wp:inline>
              </w:drawing>
            </w:r>
          </w:p>
          <w:p w:rsidR="00CF076D" w:rsidRPr="00D423B2" w:rsidRDefault="00CF076D" w:rsidP="002023B3">
            <w:pPr>
              <w:autoSpaceDE w:val="0"/>
              <w:autoSpaceDN w:val="0"/>
              <w:adjustRightInd w:val="0"/>
              <w:jc w:val="center"/>
              <w:outlineLvl w:val="2"/>
              <w:rPr>
                <w:rFonts w:ascii="Times New Roman" w:eastAsia="Times New Roman" w:hAnsi="Times New Roman" w:cs="Times New Roman"/>
                <w:sz w:val="24"/>
                <w:szCs w:val="24"/>
                <w:lang w:eastAsia="ru-RU"/>
              </w:rPr>
            </w:pPr>
          </w:p>
          <w:p w:rsidR="00603A5E" w:rsidRPr="00603A5E" w:rsidRDefault="00603A5E" w:rsidP="00603A5E">
            <w:pPr>
              <w:autoSpaceDE w:val="0"/>
              <w:autoSpaceDN w:val="0"/>
              <w:adjustRightInd w:val="0"/>
              <w:jc w:val="center"/>
              <w:rPr>
                <w:rFonts w:ascii="Times New Roman" w:eastAsia="Times New Roman" w:hAnsi="Times New Roman" w:cs="Times New Roman"/>
                <w:sz w:val="16"/>
                <w:szCs w:val="16"/>
                <w:lang w:eastAsia="ru-RU"/>
              </w:rPr>
            </w:pPr>
            <w:r w:rsidRPr="00603A5E">
              <w:rPr>
                <w:rFonts w:ascii="Times New Roman" w:eastAsia="Times New Roman" w:hAnsi="Times New Roman" w:cs="Times New Roman"/>
                <w:sz w:val="16"/>
                <w:szCs w:val="16"/>
                <w:lang w:eastAsia="ru-RU"/>
              </w:rPr>
              <w:t xml:space="preserve">Рис. 30. Карта распределения среднегодовых скоростей ветров </w:t>
            </w:r>
            <w:r w:rsidRPr="00603A5E">
              <w:rPr>
                <w:rFonts w:ascii="Times New Roman" w:eastAsia="Times New Roman" w:hAnsi="Times New Roman" w:cs="Times New Roman"/>
                <w:sz w:val="16"/>
                <w:szCs w:val="16"/>
                <w:lang w:eastAsia="ru-RU"/>
              </w:rPr>
              <w:br/>
              <w:t>по территории Республики Татарстан</w:t>
            </w:r>
          </w:p>
          <w:p w:rsidR="00CF076D" w:rsidRPr="00D423B2" w:rsidRDefault="00CF076D" w:rsidP="002023B3">
            <w:pPr>
              <w:autoSpaceDE w:val="0"/>
              <w:autoSpaceDN w:val="0"/>
              <w:adjustRightInd w:val="0"/>
              <w:jc w:val="center"/>
              <w:outlineLvl w:val="2"/>
              <w:rPr>
                <w:rFonts w:ascii="Times New Roman" w:eastAsia="Times New Roman" w:hAnsi="Times New Roman" w:cs="Times New Roman"/>
                <w:sz w:val="24"/>
                <w:szCs w:val="24"/>
                <w:lang w:eastAsia="ru-RU"/>
              </w:rPr>
            </w:pP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Начиная с 2018 года при участии Казанского государственного энергетического университета реализуется проект по ветромониторингу в трех муниципальных районах Республики Татарстан: Спасском, Камско-Устьинском и Рыбно-Слободском.</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Задачей ветромониторинга является установление в заданных районах оптимальных площадок для размещения ветропарков, для этого необходимы проведение метеорологических измерений, обработка и верификация параметров метеоданных в течение 12 месяцев. В связи с этим производятся определение и статистический анализ следующих параметров:</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 xml:space="preserve">значение средней скорости ветра; </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определение преобладающего направления ветра;</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распределение скорости ветра по направлениям (Frequency Rose);</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распределение мощности ветрового потока по направлениям (Energy Rose);</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параметры распределения Вейбулла;</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параметры вертикального профиля ветра.</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 xml:space="preserve">В каждом из этих районов были проработаны площадки, потенциально пригодные для размещения крупных промышленных ветроэлектростанций. </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В Камско-Устьинском районе определены 8 площадок, на которых возможно размещение промышленных парков. На каждой из площадок возможно разместить до 20 ветротурбин мощностью до 4,3 МВт.</w:t>
            </w:r>
          </w:p>
          <w:p w:rsidR="00EC0E80" w:rsidRPr="00434C08" w:rsidRDefault="007748EB" w:rsidP="00434C08">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В Рыбно-Слободском районе Республики Татарстан определены 6 площадок для потенциального размещения ветропарков единичной мощностью более 35 МВт. Каждая из площадок удовлетворяет требованиям для размещения оптовых объектов генерации на основе энергии ветра.</w:t>
            </w:r>
          </w:p>
          <w:p w:rsidR="00EC0E80" w:rsidRPr="00D423B2" w:rsidRDefault="00EC0E80" w:rsidP="00EC0E80">
            <w:pPr>
              <w:ind w:firstLine="709"/>
              <w:jc w:val="both"/>
              <w:rPr>
                <w:rFonts w:ascii="Calibri" w:eastAsia="Times New Roman" w:hAnsi="Calibri" w:cs="Calibri"/>
                <w:szCs w:val="20"/>
                <w:lang w:eastAsia="ru-RU"/>
              </w:rPr>
            </w:pPr>
          </w:p>
          <w:p w:rsidR="00EC0E80" w:rsidRPr="00D423B2" w:rsidRDefault="00EC0E80" w:rsidP="00EC0E80">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74D79709" wp14:editId="0DCA2F88">
                  <wp:extent cx="2943225" cy="1394666"/>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71" cstate="print">
                            <a:extLst>
                              <a:ext uri="{28A0092B-C50C-407E-A947-70E740481C1C}">
                                <a14:useLocalDpi xmlns:a14="http://schemas.microsoft.com/office/drawing/2010/main" val="0"/>
                              </a:ext>
                            </a:extLst>
                          </a:blip>
                          <a:srcRect t="11253"/>
                          <a:stretch>
                            <a:fillRect/>
                          </a:stretch>
                        </pic:blipFill>
                        <pic:spPr bwMode="auto">
                          <a:xfrm>
                            <a:off x="0" y="0"/>
                            <a:ext cx="2965575" cy="1405257"/>
                          </a:xfrm>
                          <a:prstGeom prst="rect">
                            <a:avLst/>
                          </a:prstGeom>
                          <a:noFill/>
                          <a:ln>
                            <a:noFill/>
                          </a:ln>
                        </pic:spPr>
                      </pic:pic>
                    </a:graphicData>
                  </a:graphic>
                </wp:inline>
              </w:drawing>
            </w:r>
          </w:p>
          <w:p w:rsidR="009D3F66" w:rsidRDefault="009D3F66" w:rsidP="00EC0E80">
            <w:pPr>
              <w:tabs>
                <w:tab w:val="left" w:pos="1515"/>
              </w:tabs>
              <w:jc w:val="center"/>
              <w:rPr>
                <w:rFonts w:ascii="Times New Roman" w:hAnsi="Times New Roman"/>
                <w:sz w:val="16"/>
                <w:szCs w:val="16"/>
                <w:lang w:eastAsia="ru-RU"/>
              </w:rPr>
            </w:pPr>
          </w:p>
          <w:p w:rsidR="009D3F66" w:rsidRPr="009D3F66" w:rsidRDefault="009D3F66" w:rsidP="009D3F66">
            <w:pPr>
              <w:tabs>
                <w:tab w:val="left" w:pos="1515"/>
              </w:tabs>
              <w:jc w:val="center"/>
              <w:rPr>
                <w:rFonts w:ascii="Times New Roman" w:hAnsi="Times New Roman"/>
                <w:sz w:val="16"/>
                <w:szCs w:val="16"/>
                <w:lang w:eastAsia="ru-RU"/>
              </w:rPr>
            </w:pPr>
            <w:r w:rsidRPr="009D3F66">
              <w:rPr>
                <w:rFonts w:ascii="Times New Roman" w:hAnsi="Times New Roman"/>
                <w:sz w:val="16"/>
                <w:szCs w:val="16"/>
                <w:lang w:eastAsia="ru-RU"/>
              </w:rPr>
              <w:t>Рис. 31. Ветроэнергетический потенциал перспективных районов Республики Татарстан</w:t>
            </w:r>
            <w:r>
              <w:rPr>
                <w:rFonts w:ascii="Times New Roman" w:hAnsi="Times New Roman"/>
                <w:sz w:val="16"/>
                <w:szCs w:val="16"/>
                <w:lang w:eastAsia="ru-RU"/>
              </w:rPr>
              <w:t xml:space="preserve"> </w:t>
            </w:r>
            <w:r w:rsidRPr="009D3F66">
              <w:rPr>
                <w:rFonts w:ascii="Times New Roman" w:hAnsi="Times New Roman"/>
                <w:sz w:val="16"/>
                <w:szCs w:val="16"/>
                <w:lang w:eastAsia="ru-RU"/>
              </w:rPr>
              <w:t>для размещения ветроэлектростанций</w:t>
            </w:r>
          </w:p>
          <w:p w:rsidR="00EC0E80" w:rsidRPr="00D423B2" w:rsidRDefault="00EC0E80" w:rsidP="00EC0E80">
            <w:pPr>
              <w:autoSpaceDE w:val="0"/>
              <w:autoSpaceDN w:val="0"/>
              <w:adjustRightInd w:val="0"/>
              <w:jc w:val="center"/>
              <w:outlineLvl w:val="2"/>
              <w:rPr>
                <w:rFonts w:ascii="Times New Roman" w:eastAsia="Times New Roman" w:hAnsi="Times New Roman" w:cs="Times New Roman"/>
                <w:sz w:val="24"/>
                <w:szCs w:val="24"/>
                <w:lang w:eastAsia="ru-RU"/>
              </w:rPr>
            </w:pPr>
          </w:p>
          <w:p w:rsidR="00144D6E" w:rsidRPr="00144D6E" w:rsidRDefault="00144D6E" w:rsidP="00144D6E">
            <w:pPr>
              <w:autoSpaceDE w:val="0"/>
              <w:autoSpaceDN w:val="0"/>
              <w:adjustRightInd w:val="0"/>
              <w:jc w:val="both"/>
              <w:outlineLvl w:val="2"/>
              <w:rPr>
                <w:rFonts w:ascii="Times New Roman" w:eastAsia="Times New Roman" w:hAnsi="Times New Roman" w:cs="Times New Roman"/>
                <w:sz w:val="24"/>
                <w:szCs w:val="24"/>
                <w:lang w:eastAsia="ru-RU"/>
              </w:rPr>
            </w:pPr>
            <w:r w:rsidRPr="00144D6E">
              <w:rPr>
                <w:rFonts w:ascii="Times New Roman" w:eastAsia="Times New Roman" w:hAnsi="Times New Roman" w:cs="Times New Roman"/>
                <w:sz w:val="24"/>
                <w:szCs w:val="24"/>
                <w:lang w:eastAsia="ru-RU"/>
              </w:rPr>
              <w:t xml:space="preserve">              В Спасском районе республики определены 6 потенциально пригодных площадок для размещения крупных промышленных парков, при этом каждая из площадок обладает высокой единичной мощностью и способна разместить ветроэлектростанции мощностью свыше 100 МВт. При создании в данном районе разветвленной сети линии электропередач напряжением 110 – 220 кВ Спасский район может стать одним из лидеров по размещению объектов генерации как на основе ветра, так и на основе солнечной энергии. </w:t>
            </w:r>
          </w:p>
          <w:p w:rsidR="00144D6E" w:rsidRPr="00144D6E" w:rsidRDefault="008D094B" w:rsidP="00144D6E">
            <w:pPr>
              <w:autoSpaceDE w:val="0"/>
              <w:autoSpaceDN w:val="0"/>
              <w:adjustRightInd w:val="0"/>
              <w:jc w:val="both"/>
              <w:outlineLvl w:val="2"/>
              <w:rPr>
                <w:rFonts w:ascii="Times New Roman" w:eastAsia="Times New Roman" w:hAnsi="Times New Roman" w:cs="Times New Roman"/>
                <w:sz w:val="24"/>
                <w:szCs w:val="24"/>
                <w:lang w:eastAsia="ru-RU"/>
              </w:rPr>
            </w:pPr>
            <w:r w:rsidRPr="00695B5C">
              <w:rPr>
                <w:rFonts w:ascii="Times New Roman" w:eastAsia="Times New Roman" w:hAnsi="Times New Roman" w:cs="Times New Roman"/>
                <w:sz w:val="24"/>
                <w:szCs w:val="24"/>
                <w:lang w:eastAsia="ru-RU"/>
              </w:rPr>
              <w:t xml:space="preserve">             </w:t>
            </w:r>
            <w:r w:rsidR="00144D6E" w:rsidRPr="00144D6E">
              <w:rPr>
                <w:rFonts w:ascii="Times New Roman" w:eastAsia="Times New Roman" w:hAnsi="Times New Roman" w:cs="Times New Roman"/>
                <w:sz w:val="24"/>
                <w:szCs w:val="24"/>
                <w:lang w:eastAsia="ru-RU"/>
              </w:rPr>
              <w:t>Информация по площадкам для проведения ветромониторинга приведена на рисунке 32.</w:t>
            </w:r>
          </w:p>
          <w:p w:rsidR="00C64CB9" w:rsidRPr="00D423B2" w:rsidRDefault="00C64CB9" w:rsidP="00EC1E1E">
            <w:pPr>
              <w:autoSpaceDE w:val="0"/>
              <w:autoSpaceDN w:val="0"/>
              <w:adjustRightInd w:val="0"/>
              <w:jc w:val="both"/>
              <w:outlineLvl w:val="2"/>
              <w:rPr>
                <w:rFonts w:ascii="Times New Roman" w:eastAsia="Times New Roman" w:hAnsi="Times New Roman" w:cs="Times New Roman"/>
                <w:sz w:val="24"/>
                <w:szCs w:val="24"/>
                <w:lang w:eastAsia="ru-RU"/>
              </w:rPr>
            </w:pPr>
          </w:p>
          <w:p w:rsidR="00C64CB9" w:rsidRPr="00D423B2" w:rsidRDefault="00C64CB9" w:rsidP="00C64CB9">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208E203E" wp14:editId="0777A7F8">
                  <wp:extent cx="2771140" cy="1552974"/>
                  <wp:effectExtent l="0" t="0" r="0"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89242" cy="1563119"/>
                          </a:xfrm>
                          <a:prstGeom prst="rect">
                            <a:avLst/>
                          </a:prstGeom>
                          <a:noFill/>
                        </pic:spPr>
                      </pic:pic>
                    </a:graphicData>
                  </a:graphic>
                </wp:inline>
              </w:drawing>
            </w:r>
          </w:p>
          <w:p w:rsidR="008C6C2E" w:rsidRPr="008C6C2E" w:rsidRDefault="008C6C2E" w:rsidP="008C6C2E">
            <w:pPr>
              <w:ind w:firstLine="709"/>
              <w:jc w:val="center"/>
              <w:rPr>
                <w:rFonts w:ascii="Times New Roman" w:eastAsia="Times New Roman" w:hAnsi="Times New Roman" w:cs="Times New Roman"/>
                <w:sz w:val="16"/>
                <w:szCs w:val="16"/>
                <w:lang w:eastAsia="ru-RU"/>
              </w:rPr>
            </w:pPr>
            <w:r w:rsidRPr="008C6C2E">
              <w:rPr>
                <w:rFonts w:ascii="Times New Roman" w:eastAsia="Times New Roman" w:hAnsi="Times New Roman" w:cs="Times New Roman"/>
                <w:sz w:val="16"/>
                <w:szCs w:val="16"/>
                <w:lang w:eastAsia="ru-RU"/>
              </w:rPr>
              <w:t xml:space="preserve">Рис. 32. Рекомендуемые площадки для строительства ВЭС </w:t>
            </w:r>
            <w:r w:rsidRPr="008C6C2E">
              <w:rPr>
                <w:rFonts w:ascii="Times New Roman" w:eastAsia="Times New Roman" w:hAnsi="Times New Roman" w:cs="Times New Roman"/>
                <w:bCs/>
                <w:sz w:val="16"/>
                <w:szCs w:val="16"/>
                <w:lang w:eastAsia="ru-RU"/>
              </w:rPr>
              <w:t>в Республике Татарстан</w:t>
            </w:r>
          </w:p>
          <w:p w:rsidR="00C64CB9" w:rsidRPr="00D423B2" w:rsidRDefault="00C64CB9" w:rsidP="00C64CB9">
            <w:pPr>
              <w:ind w:firstLine="709"/>
              <w:jc w:val="both"/>
              <w:rPr>
                <w:rFonts w:ascii="Times New Roman" w:eastAsia="Times New Roman" w:hAnsi="Times New Roman" w:cs="Times New Roman"/>
                <w:sz w:val="24"/>
                <w:szCs w:val="24"/>
                <w:lang w:eastAsia="ru-RU"/>
              </w:rPr>
            </w:pP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Важнейшей характеристикой, определяющей энергетическую ценность ветра, является его средняя годовая скорость.  По результатам ветроизмерений в течение 11 месяцев установлено, что средняя годовая скорость ветра на высоте 100 метров составляет:</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Спасский район – 7,4 м/с;</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Камско-Устьинский район – 7,7 м/с;</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Рыбно-Слободский район – 7,3 м/с.</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 xml:space="preserve">Указанные скорости ветров обеспечивают КИУМ ветроэлектростанции на уровне 30 процентов. </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Суммарный энергетический потенциал трех рассмотренных районов составляет более 600 МВт.</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Таким образом, ветроизмерения показали наличие в Татарстане «коммерческого ветра» и целесообразность строительства крупных промышленных ветропарков, реализующих электроэнергию на оптовый рынок электроэнергии и мощности.</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Также целесообразно дальнейшее приборное исследование других районов республики с высоким расчетным ветропотенциалом. На территории Республики Татарстан имеется техническая возможность размещения более 40 крупных ветроэнергетических станций с суммарной мощностью порядка 3 ГВт. Наибольшим ветропотенциалом по оценке обладают Альметьевский, Бугульминский, Зеленодольский, Тетюшский, Верхнеуслонский районы Республики Татарстан.</w:t>
            </w:r>
          </w:p>
          <w:p w:rsidR="00C64CB9" w:rsidRPr="00D423B2" w:rsidRDefault="00C64CB9" w:rsidP="00C64CB9">
            <w:pPr>
              <w:rPr>
                <w:rFonts w:ascii="Times New Roman" w:eastAsia="Times New Roman" w:hAnsi="Times New Roman" w:cs="Times New Roman"/>
                <w:b/>
                <w:sz w:val="24"/>
                <w:szCs w:val="24"/>
                <w:lang w:eastAsia="ru-RU"/>
              </w:rPr>
            </w:pPr>
          </w:p>
          <w:p w:rsidR="00C64CB9" w:rsidRPr="00D423B2" w:rsidRDefault="00C64CB9" w:rsidP="00C64CB9">
            <w:pPr>
              <w:ind w:firstLine="709"/>
              <w:rPr>
                <w:rFonts w:ascii="Times New Roman" w:eastAsia="Times New Roman" w:hAnsi="Times New Roman" w:cs="Times New Roman"/>
                <w:sz w:val="24"/>
                <w:szCs w:val="24"/>
              </w:rPr>
            </w:pPr>
            <w:r w:rsidRPr="00D423B2">
              <w:rPr>
                <w:rFonts w:ascii="Times New Roman" w:eastAsia="Times New Roman" w:hAnsi="Times New Roman" w:cs="Times New Roman"/>
                <w:sz w:val="24"/>
                <w:szCs w:val="24"/>
              </w:rPr>
              <w:t>4.4.2. Солнечная энергетика</w:t>
            </w:r>
          </w:p>
          <w:p w:rsidR="00BB1392" w:rsidRDefault="00BB1392" w:rsidP="006A6AFB">
            <w:pPr>
              <w:pStyle w:val="1"/>
              <w:ind w:firstLine="709"/>
              <w:jc w:val="both"/>
              <w:rPr>
                <w:rFonts w:ascii="Times New Roman" w:hAnsi="Times New Roman"/>
                <w:sz w:val="24"/>
                <w:szCs w:val="24"/>
                <w:lang w:val="ru-RU" w:eastAsia="ru-RU"/>
              </w:rPr>
            </w:pPr>
          </w:p>
          <w:p w:rsidR="005555E0" w:rsidRPr="005555E0" w:rsidRDefault="005555E0" w:rsidP="005555E0">
            <w:pPr>
              <w:pStyle w:val="1"/>
              <w:ind w:firstLine="709"/>
              <w:jc w:val="both"/>
              <w:rPr>
                <w:rFonts w:ascii="Times New Roman" w:hAnsi="Times New Roman"/>
                <w:color w:val="000000"/>
                <w:sz w:val="24"/>
                <w:szCs w:val="24"/>
                <w:lang w:val="ru-RU" w:eastAsia="ru-RU"/>
              </w:rPr>
            </w:pPr>
            <w:r w:rsidRPr="005555E0">
              <w:rPr>
                <w:rFonts w:ascii="Times New Roman" w:hAnsi="Times New Roman"/>
                <w:color w:val="000000"/>
                <w:sz w:val="24"/>
                <w:szCs w:val="24"/>
                <w:lang w:val="ru-RU" w:eastAsia="ru-RU"/>
              </w:rPr>
              <w:t>Солнечная энергетика – одно из наиболее динамично развивающихся направлений ВИЭ. По итогам 2018 года в России уже эксплуатируется более 1 ГВт объектов генерации на основе энергии солнца, а до 2024 года планируется ввод в эксплуатацию еще 1,8 ГВт мощностей по программе ДПМ ВИЭ. Кроме того, реализуются проекты, предусматривающие поставку электроэнергии на розничный рынок.</w:t>
            </w:r>
          </w:p>
          <w:p w:rsidR="005555E0" w:rsidRPr="005555E0" w:rsidRDefault="005555E0" w:rsidP="005555E0">
            <w:pPr>
              <w:pStyle w:val="1"/>
              <w:ind w:firstLine="709"/>
              <w:jc w:val="both"/>
              <w:rPr>
                <w:rFonts w:ascii="Times New Roman" w:hAnsi="Times New Roman"/>
                <w:color w:val="000000"/>
                <w:sz w:val="24"/>
                <w:szCs w:val="24"/>
                <w:lang w:val="ru-RU" w:eastAsia="ru-RU"/>
              </w:rPr>
            </w:pPr>
            <w:r w:rsidRPr="005555E0">
              <w:rPr>
                <w:rFonts w:ascii="Times New Roman" w:hAnsi="Times New Roman"/>
                <w:color w:val="000000"/>
                <w:sz w:val="24"/>
                <w:szCs w:val="24"/>
                <w:lang w:val="ru-RU" w:eastAsia="ru-RU"/>
              </w:rPr>
              <w:t>В мае 2019 года состоялся пуск Самарской солнечной электростанции мощностью 75 МВт в Новокуйбышевске Самарской области. Сегодня в Европейском союзе в среднем вводятся меньшие по мощности объекты. Расчетный коэффициент использования установленной мощности объекта превышает</w:t>
            </w:r>
            <w:r w:rsidRPr="005555E0">
              <w:rPr>
                <w:rFonts w:ascii="Times New Roman" w:hAnsi="Times New Roman"/>
                <w:color w:val="000000"/>
                <w:sz w:val="24"/>
                <w:szCs w:val="24"/>
                <w:lang w:val="ru-RU" w:eastAsia="ru-RU"/>
              </w:rPr>
              <w:br/>
              <w:t>14 процентов. Оборудование для новой солнечной электростанции (далее – СЭС) в основном произведено на территории Российской Федерации. Коэффициент его локализации составляет 70 процентов. </w:t>
            </w:r>
          </w:p>
          <w:p w:rsidR="005555E0" w:rsidRPr="005555E0" w:rsidRDefault="005555E0" w:rsidP="005555E0">
            <w:pPr>
              <w:pStyle w:val="1"/>
              <w:ind w:firstLine="709"/>
              <w:jc w:val="both"/>
              <w:rPr>
                <w:rFonts w:ascii="Times New Roman" w:hAnsi="Times New Roman"/>
                <w:color w:val="000000"/>
                <w:sz w:val="24"/>
                <w:szCs w:val="24"/>
                <w:lang w:val="ru-RU" w:eastAsia="ru-RU"/>
              </w:rPr>
            </w:pPr>
            <w:r w:rsidRPr="005555E0">
              <w:rPr>
                <w:rFonts w:ascii="Times New Roman" w:hAnsi="Times New Roman"/>
                <w:color w:val="000000"/>
                <w:sz w:val="24"/>
                <w:szCs w:val="24"/>
                <w:lang w:val="ru-RU" w:eastAsia="ru-RU"/>
              </w:rPr>
              <w:t>ГК «Хевел» планируется строительство гибридной солнечной электростанции с промышленными накопителями энергии. Объект солнечной генерации общей мощностью 10 МВт будет расположен в Бурзянском районе Республики Башкортостан.</w:t>
            </w:r>
          </w:p>
          <w:p w:rsidR="005555E0" w:rsidRPr="005555E0" w:rsidRDefault="005555E0" w:rsidP="005555E0">
            <w:pPr>
              <w:pStyle w:val="1"/>
              <w:ind w:firstLine="709"/>
              <w:jc w:val="both"/>
              <w:rPr>
                <w:rFonts w:ascii="Times New Roman" w:hAnsi="Times New Roman"/>
                <w:color w:val="000000"/>
                <w:sz w:val="24"/>
                <w:szCs w:val="24"/>
                <w:lang w:val="ru-RU" w:eastAsia="ru-RU"/>
              </w:rPr>
            </w:pPr>
            <w:r w:rsidRPr="005555E0">
              <w:rPr>
                <w:rFonts w:ascii="Times New Roman" w:hAnsi="Times New Roman"/>
                <w:color w:val="000000"/>
                <w:sz w:val="24"/>
                <w:szCs w:val="24"/>
                <w:lang w:val="ru-RU" w:eastAsia="ru-RU"/>
              </w:rPr>
              <w:t>В солнечной энергетике в среднем по миру КИУМ вырос и достиг величины 17,6 процента за счет расширения использования поворотных систем (трекеров) повышения качества техники и проектирования СЭС (для сравнения: в 2010 году он находился на уровне 14 процентов).</w:t>
            </w:r>
          </w:p>
          <w:p w:rsidR="006A6AFB" w:rsidRPr="00D423B2" w:rsidRDefault="006A6AFB" w:rsidP="006A6AFB">
            <w:pPr>
              <w:pStyle w:val="1"/>
              <w:ind w:firstLine="709"/>
              <w:jc w:val="both"/>
              <w:rPr>
                <w:rFonts w:ascii="Times New Roman" w:hAnsi="Times New Roman"/>
                <w:sz w:val="24"/>
                <w:szCs w:val="24"/>
                <w:lang w:val="ru-RU" w:eastAsia="ru-RU"/>
              </w:rPr>
            </w:pPr>
          </w:p>
          <w:p w:rsidR="00C64CB9" w:rsidRDefault="003520A1" w:rsidP="00C64CB9">
            <w:pPr>
              <w:autoSpaceDE w:val="0"/>
              <w:autoSpaceDN w:val="0"/>
              <w:adjustRightInd w:val="0"/>
              <w:jc w:val="center"/>
              <w:outlineLvl w:val="2"/>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4F5725A1">
                  <wp:extent cx="2962275" cy="835365"/>
                  <wp:effectExtent l="0" t="0" r="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8246" cy="842689"/>
                          </a:xfrm>
                          <a:prstGeom prst="rect">
                            <a:avLst/>
                          </a:prstGeom>
                          <a:noFill/>
                        </pic:spPr>
                      </pic:pic>
                    </a:graphicData>
                  </a:graphic>
                </wp:inline>
              </w:drawing>
            </w:r>
          </w:p>
          <w:p w:rsidR="005A3DC8" w:rsidRPr="005A3DC8" w:rsidRDefault="005A3DC8" w:rsidP="005A3DC8">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GHI</w:t>
            </w:r>
            <w:r w:rsidRPr="005A3DC8">
              <w:rPr>
                <w:rFonts w:ascii="Times New Roman" w:eastAsia="Times New Roman" w:hAnsi="Times New Roman" w:cs="Times New Roman"/>
                <w:noProof/>
                <w:sz w:val="12"/>
                <w:szCs w:val="12"/>
                <w:lang w:eastAsia="ru-RU"/>
              </w:rPr>
              <w:t xml:space="preserve"> (глобальное горизонтальное облучение): 1 105 кВт*ч/м</w:t>
            </w:r>
            <w:r w:rsidRPr="005A3DC8">
              <w:rPr>
                <w:rFonts w:ascii="Times New Roman" w:eastAsia="Times New Roman" w:hAnsi="Times New Roman" w:cs="Times New Roman"/>
                <w:noProof/>
                <w:sz w:val="12"/>
                <w:szCs w:val="12"/>
                <w:vertAlign w:val="superscript"/>
                <w:lang w:eastAsia="ru-RU"/>
              </w:rPr>
              <w:t>2</w:t>
            </w:r>
            <w:r w:rsidRPr="005A3DC8">
              <w:rPr>
                <w:rFonts w:ascii="Times New Roman" w:eastAsia="Times New Roman" w:hAnsi="Times New Roman" w:cs="Times New Roman"/>
                <w:noProof/>
                <w:sz w:val="12"/>
                <w:szCs w:val="12"/>
                <w:lang w:eastAsia="ru-RU"/>
              </w:rPr>
              <w:t xml:space="preserve"> в год;</w:t>
            </w:r>
          </w:p>
          <w:p w:rsidR="005A3DC8" w:rsidRPr="005A3DC8" w:rsidRDefault="005A3DC8" w:rsidP="005A3DC8">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DNI</w:t>
            </w:r>
            <w:r w:rsidRPr="005A3DC8">
              <w:rPr>
                <w:rFonts w:ascii="Times New Roman" w:eastAsia="Times New Roman" w:hAnsi="Times New Roman" w:cs="Times New Roman"/>
                <w:noProof/>
                <w:sz w:val="12"/>
                <w:szCs w:val="12"/>
                <w:lang w:eastAsia="ru-RU"/>
              </w:rPr>
              <w:t>(прямое нормальное облучение): 1 091 кВт*ч/м</w:t>
            </w:r>
            <w:r w:rsidRPr="005A3DC8">
              <w:rPr>
                <w:rFonts w:ascii="Times New Roman" w:eastAsia="Times New Roman" w:hAnsi="Times New Roman" w:cs="Times New Roman"/>
                <w:noProof/>
                <w:sz w:val="12"/>
                <w:szCs w:val="12"/>
                <w:vertAlign w:val="superscript"/>
                <w:lang w:eastAsia="ru-RU"/>
              </w:rPr>
              <w:t>2</w:t>
            </w:r>
            <w:r w:rsidRPr="005A3DC8">
              <w:rPr>
                <w:rFonts w:ascii="Times New Roman" w:eastAsia="Times New Roman" w:hAnsi="Times New Roman" w:cs="Times New Roman"/>
                <w:noProof/>
                <w:sz w:val="12"/>
                <w:szCs w:val="12"/>
                <w:lang w:eastAsia="ru-RU"/>
              </w:rPr>
              <w:t xml:space="preserve"> в год;</w:t>
            </w:r>
          </w:p>
          <w:p w:rsidR="005A3DC8" w:rsidRPr="005A3DC8" w:rsidRDefault="005A3DC8" w:rsidP="005A3DC8">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DIF</w:t>
            </w:r>
            <w:r w:rsidRPr="005A3DC8">
              <w:rPr>
                <w:rFonts w:ascii="Times New Roman" w:eastAsia="Times New Roman" w:hAnsi="Times New Roman" w:cs="Times New Roman"/>
                <w:noProof/>
                <w:sz w:val="12"/>
                <w:szCs w:val="12"/>
                <w:lang w:eastAsia="ru-RU"/>
              </w:rPr>
              <w:t xml:space="preserve"> (диффузное горизонтальное облучение): 526 кВт*ч/м</w:t>
            </w:r>
            <w:r w:rsidRPr="005A3DC8">
              <w:rPr>
                <w:rFonts w:ascii="Times New Roman" w:eastAsia="Times New Roman" w:hAnsi="Times New Roman" w:cs="Times New Roman"/>
                <w:noProof/>
                <w:sz w:val="12"/>
                <w:szCs w:val="12"/>
                <w:vertAlign w:val="superscript"/>
                <w:lang w:eastAsia="ru-RU"/>
              </w:rPr>
              <w:t>2</w:t>
            </w:r>
            <w:r w:rsidRPr="005A3DC8">
              <w:rPr>
                <w:rFonts w:ascii="Times New Roman" w:eastAsia="Times New Roman" w:hAnsi="Times New Roman" w:cs="Times New Roman"/>
                <w:noProof/>
                <w:sz w:val="12"/>
                <w:szCs w:val="12"/>
                <w:lang w:eastAsia="ru-RU"/>
              </w:rPr>
              <w:t xml:space="preserve"> в год;</w:t>
            </w:r>
          </w:p>
          <w:p w:rsidR="005A3DC8" w:rsidRPr="005A3DC8" w:rsidRDefault="005A3DC8" w:rsidP="005A3DC8">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GTI</w:t>
            </w:r>
            <w:r w:rsidRPr="005A3DC8">
              <w:rPr>
                <w:rFonts w:ascii="Times New Roman" w:eastAsia="Times New Roman" w:hAnsi="Times New Roman" w:cs="Times New Roman"/>
                <w:noProof/>
                <w:sz w:val="12"/>
                <w:szCs w:val="12"/>
                <w:lang w:eastAsia="ru-RU"/>
              </w:rPr>
              <w:t xml:space="preserve"> (глобальное наклонное облучение): 1 306 кВт*ч/м</w:t>
            </w:r>
            <w:r w:rsidRPr="005A3DC8">
              <w:rPr>
                <w:rFonts w:ascii="Times New Roman" w:eastAsia="Times New Roman" w:hAnsi="Times New Roman" w:cs="Times New Roman"/>
                <w:noProof/>
                <w:sz w:val="12"/>
                <w:szCs w:val="12"/>
                <w:vertAlign w:val="superscript"/>
                <w:lang w:eastAsia="ru-RU"/>
              </w:rPr>
              <w:t>2</w:t>
            </w:r>
            <w:r w:rsidRPr="005A3DC8">
              <w:rPr>
                <w:rFonts w:ascii="Times New Roman" w:eastAsia="Times New Roman" w:hAnsi="Times New Roman" w:cs="Times New Roman"/>
                <w:noProof/>
                <w:sz w:val="12"/>
                <w:szCs w:val="12"/>
                <w:lang w:eastAsia="ru-RU"/>
              </w:rPr>
              <w:t xml:space="preserve"> в год;</w:t>
            </w:r>
          </w:p>
          <w:p w:rsidR="005A3DC8" w:rsidRPr="005A3DC8" w:rsidRDefault="005A3DC8" w:rsidP="005A3DC8">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PVOUT</w:t>
            </w:r>
            <w:r w:rsidRPr="005A3DC8">
              <w:rPr>
                <w:rFonts w:ascii="Times New Roman" w:eastAsia="Times New Roman" w:hAnsi="Times New Roman" w:cs="Times New Roman"/>
                <w:noProof/>
                <w:sz w:val="12"/>
                <w:szCs w:val="12"/>
                <w:lang w:eastAsia="ru-RU"/>
              </w:rPr>
              <w:t xml:space="preserve"> (фотоэлектрическая мощность): 1 081 кВт*ч/м</w:t>
            </w:r>
            <w:r w:rsidRPr="005A3DC8">
              <w:rPr>
                <w:rFonts w:ascii="Times New Roman" w:eastAsia="Times New Roman" w:hAnsi="Times New Roman" w:cs="Times New Roman"/>
                <w:noProof/>
                <w:sz w:val="12"/>
                <w:szCs w:val="12"/>
                <w:vertAlign w:val="superscript"/>
                <w:lang w:eastAsia="ru-RU"/>
              </w:rPr>
              <w:t>2</w:t>
            </w:r>
            <w:r w:rsidRPr="005A3DC8">
              <w:rPr>
                <w:rFonts w:ascii="Times New Roman" w:eastAsia="Times New Roman" w:hAnsi="Times New Roman" w:cs="Times New Roman"/>
                <w:noProof/>
                <w:sz w:val="12"/>
                <w:szCs w:val="12"/>
                <w:lang w:eastAsia="ru-RU"/>
              </w:rPr>
              <w:t xml:space="preserve"> в год;</w:t>
            </w:r>
          </w:p>
          <w:p w:rsidR="005A3DC8" w:rsidRPr="005A3DC8" w:rsidRDefault="005A3DC8" w:rsidP="005A3DC8">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OPTA</w:t>
            </w:r>
            <w:r w:rsidRPr="005A3DC8">
              <w:rPr>
                <w:rFonts w:ascii="Times New Roman" w:eastAsia="Times New Roman" w:hAnsi="Times New Roman" w:cs="Times New Roman"/>
                <w:noProof/>
                <w:sz w:val="12"/>
                <w:szCs w:val="12"/>
                <w:lang w:eastAsia="ru-RU"/>
              </w:rPr>
              <w:t xml:space="preserve"> (оптимальный угол): 37</w:t>
            </w:r>
            <w:r w:rsidRPr="005A3DC8">
              <w:rPr>
                <w:rFonts w:ascii="Times New Roman" w:eastAsia="Times New Roman" w:hAnsi="Times New Roman" w:cs="Times New Roman"/>
                <w:noProof/>
                <w:sz w:val="12"/>
                <w:szCs w:val="12"/>
                <w:vertAlign w:val="superscript"/>
                <w:lang w:eastAsia="ru-RU"/>
              </w:rPr>
              <w:t>0</w:t>
            </w:r>
            <w:r w:rsidRPr="005A3DC8">
              <w:rPr>
                <w:rFonts w:ascii="Times New Roman" w:eastAsia="Times New Roman" w:hAnsi="Times New Roman" w:cs="Times New Roman"/>
                <w:noProof/>
                <w:sz w:val="12"/>
                <w:szCs w:val="12"/>
                <w:lang w:eastAsia="ru-RU"/>
              </w:rPr>
              <w:t xml:space="preserve"> / 180</w:t>
            </w:r>
            <w:r w:rsidRPr="005A3DC8">
              <w:rPr>
                <w:rFonts w:ascii="Times New Roman" w:eastAsia="Times New Roman" w:hAnsi="Times New Roman" w:cs="Times New Roman"/>
                <w:noProof/>
                <w:sz w:val="12"/>
                <w:szCs w:val="12"/>
                <w:vertAlign w:val="superscript"/>
                <w:lang w:eastAsia="ru-RU"/>
              </w:rPr>
              <w:t>0</w:t>
            </w:r>
            <w:r w:rsidRPr="005A3DC8">
              <w:rPr>
                <w:rFonts w:ascii="Times New Roman" w:eastAsia="Times New Roman" w:hAnsi="Times New Roman" w:cs="Times New Roman"/>
                <w:noProof/>
                <w:sz w:val="12"/>
                <w:szCs w:val="12"/>
                <w:lang w:eastAsia="ru-RU"/>
              </w:rPr>
              <w:t>;</w:t>
            </w:r>
          </w:p>
          <w:p w:rsidR="005A3DC8" w:rsidRPr="005A3DC8" w:rsidRDefault="005A3DC8" w:rsidP="005A3DC8">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TEMP</w:t>
            </w:r>
            <w:r w:rsidRPr="005A3DC8">
              <w:rPr>
                <w:rFonts w:ascii="Times New Roman" w:eastAsia="Times New Roman" w:hAnsi="Times New Roman" w:cs="Times New Roman"/>
                <w:noProof/>
                <w:sz w:val="12"/>
                <w:szCs w:val="12"/>
                <w:lang w:eastAsia="ru-RU"/>
              </w:rPr>
              <w:t xml:space="preserve"> (температура воздуха на высоте 2 м над землей): 180</w:t>
            </w:r>
            <w:r w:rsidRPr="005A3DC8">
              <w:rPr>
                <w:rFonts w:ascii="Times New Roman" w:eastAsia="Times New Roman" w:hAnsi="Times New Roman" w:cs="Times New Roman"/>
                <w:noProof/>
                <w:sz w:val="12"/>
                <w:szCs w:val="12"/>
                <w:vertAlign w:val="superscript"/>
                <w:lang w:eastAsia="ru-RU"/>
              </w:rPr>
              <w:t>0</w:t>
            </w:r>
            <w:r w:rsidRPr="005A3DC8">
              <w:rPr>
                <w:rFonts w:ascii="Times New Roman" w:eastAsia="Times New Roman" w:hAnsi="Times New Roman" w:cs="Times New Roman"/>
                <w:noProof/>
                <w:sz w:val="12"/>
                <w:szCs w:val="12"/>
                <w:lang w:eastAsia="ru-RU"/>
              </w:rPr>
              <w:t xml:space="preserve"> С;</w:t>
            </w:r>
          </w:p>
          <w:p w:rsidR="005A3DC8" w:rsidRPr="005A3DC8" w:rsidRDefault="005D2451" w:rsidP="005A3DC8">
            <w:pPr>
              <w:autoSpaceDE w:val="0"/>
              <w:autoSpaceDN w:val="0"/>
              <w:adjustRightInd w:val="0"/>
              <w:outlineLvl w:val="2"/>
              <w:rPr>
                <w:rFonts w:ascii="Times New Roman" w:eastAsia="Times New Roman" w:hAnsi="Times New Roman" w:cs="Times New Roman"/>
                <w:sz w:val="12"/>
                <w:szCs w:val="12"/>
                <w:lang w:eastAsia="ru-RU"/>
              </w:rPr>
            </w:pPr>
            <w:r w:rsidRPr="005E6D25">
              <w:rPr>
                <w:rFonts w:ascii="Times New Roman" w:eastAsia="Times New Roman" w:hAnsi="Times New Roman" w:cs="Times New Roman"/>
                <w:noProof/>
                <w:sz w:val="12"/>
                <w:szCs w:val="12"/>
                <w:lang w:eastAsia="ru-RU"/>
              </w:rPr>
              <w:t xml:space="preserve">                                 </w:t>
            </w:r>
            <w:r w:rsidR="005A3DC8" w:rsidRPr="005A3DC8">
              <w:rPr>
                <w:rFonts w:ascii="Times New Roman" w:eastAsia="Times New Roman" w:hAnsi="Times New Roman" w:cs="Times New Roman"/>
                <w:noProof/>
                <w:sz w:val="12"/>
                <w:szCs w:val="12"/>
                <w:lang w:val="en-US" w:eastAsia="ru-RU"/>
              </w:rPr>
              <w:t>ELE</w:t>
            </w:r>
            <w:r w:rsidR="005A3DC8" w:rsidRPr="005E6D25">
              <w:rPr>
                <w:rFonts w:ascii="Times New Roman" w:eastAsia="Times New Roman" w:hAnsi="Times New Roman" w:cs="Times New Roman"/>
                <w:noProof/>
                <w:sz w:val="12"/>
                <w:szCs w:val="12"/>
                <w:lang w:eastAsia="ru-RU"/>
              </w:rPr>
              <w:t xml:space="preserve"> </w:t>
            </w:r>
            <w:r w:rsidR="005A3DC8" w:rsidRPr="005A3DC8">
              <w:rPr>
                <w:rFonts w:ascii="Times New Roman" w:eastAsia="Times New Roman" w:hAnsi="Times New Roman" w:cs="Times New Roman"/>
                <w:noProof/>
                <w:sz w:val="12"/>
                <w:szCs w:val="12"/>
                <w:lang w:eastAsia="ru-RU"/>
              </w:rPr>
              <w:t>(высота): 123 м</w:t>
            </w:r>
          </w:p>
          <w:p w:rsidR="005E6D25" w:rsidRDefault="005E6D25" w:rsidP="005E6D25">
            <w:pPr>
              <w:pStyle w:val="1"/>
              <w:jc w:val="center"/>
              <w:rPr>
                <w:rFonts w:ascii="Times New Roman" w:hAnsi="Times New Roman"/>
                <w:sz w:val="16"/>
                <w:szCs w:val="16"/>
                <w:lang w:val="ru-RU" w:eastAsia="ru-RU"/>
              </w:rPr>
            </w:pPr>
          </w:p>
          <w:p w:rsidR="005E6D25" w:rsidRPr="005E6D25" w:rsidRDefault="005E6D25" w:rsidP="005E6D25">
            <w:pPr>
              <w:pStyle w:val="1"/>
              <w:jc w:val="center"/>
              <w:rPr>
                <w:rFonts w:ascii="Times New Roman" w:hAnsi="Times New Roman"/>
                <w:sz w:val="16"/>
                <w:szCs w:val="16"/>
                <w:lang w:val="ru-RU" w:eastAsia="ru-RU"/>
              </w:rPr>
            </w:pPr>
            <w:r w:rsidRPr="005E6D25">
              <w:rPr>
                <w:rFonts w:ascii="Times New Roman" w:hAnsi="Times New Roman"/>
                <w:sz w:val="16"/>
                <w:szCs w:val="16"/>
                <w:lang w:val="ru-RU" w:eastAsia="ru-RU"/>
              </w:rPr>
              <w:t>Рис. 33. Солнечная инсоляция в Республике Татарстан</w:t>
            </w:r>
          </w:p>
          <w:p w:rsidR="004A4EFC" w:rsidRPr="004A4EFC" w:rsidRDefault="004A4EFC" w:rsidP="004A4EFC">
            <w:pPr>
              <w:pStyle w:val="1"/>
              <w:ind w:firstLine="709"/>
              <w:jc w:val="both"/>
              <w:rPr>
                <w:rFonts w:ascii="Times New Roman" w:hAnsi="Times New Roman"/>
                <w:color w:val="000000"/>
                <w:sz w:val="24"/>
                <w:szCs w:val="24"/>
                <w:lang w:val="ru-RU" w:eastAsia="ru-RU"/>
              </w:rPr>
            </w:pPr>
            <w:r w:rsidRPr="004A4EFC">
              <w:rPr>
                <w:rFonts w:ascii="Times New Roman" w:hAnsi="Times New Roman"/>
                <w:color w:val="000000"/>
                <w:sz w:val="24"/>
                <w:szCs w:val="24"/>
                <w:lang w:val="ru-RU" w:eastAsia="ru-RU"/>
              </w:rPr>
              <w:t>На рисунке 33 показана карта солнечной инсоляции в Республике Татарстан. Как видно из карты, Татарстан обладает достаточным уровнем солнечной инсоляции (глобальное горизонтальное облучение составляет 1 105 кВт*ч/м</w:t>
            </w:r>
            <w:r w:rsidRPr="004A4EFC">
              <w:rPr>
                <w:rFonts w:ascii="Times New Roman" w:hAnsi="Times New Roman"/>
                <w:color w:val="000000"/>
                <w:sz w:val="24"/>
                <w:szCs w:val="24"/>
                <w:vertAlign w:val="superscript"/>
                <w:lang w:val="ru-RU" w:eastAsia="ru-RU"/>
              </w:rPr>
              <w:t>2</w:t>
            </w:r>
            <w:r w:rsidRPr="004A4EFC">
              <w:rPr>
                <w:rFonts w:ascii="Times New Roman" w:hAnsi="Times New Roman"/>
                <w:color w:val="000000"/>
                <w:sz w:val="24"/>
                <w:szCs w:val="24"/>
                <w:lang w:val="ru-RU" w:eastAsia="ru-RU"/>
              </w:rPr>
              <w:t>) для строительства солнечных электростанций с КИУМ на уровне 15 процентов.</w:t>
            </w:r>
          </w:p>
          <w:p w:rsidR="00610F55" w:rsidRPr="00D423B2" w:rsidRDefault="00610F55" w:rsidP="00DF26F8">
            <w:pPr>
              <w:pStyle w:val="1"/>
              <w:ind w:firstLine="709"/>
              <w:jc w:val="both"/>
              <w:rPr>
                <w:rFonts w:ascii="Times New Roman" w:hAnsi="Times New Roman"/>
                <w:sz w:val="24"/>
                <w:szCs w:val="24"/>
                <w:lang w:val="ru-RU" w:eastAsia="ru-RU"/>
              </w:rPr>
            </w:pPr>
          </w:p>
          <w:p w:rsidR="00DF26F8" w:rsidRPr="00D423B2" w:rsidRDefault="00610F55" w:rsidP="00C64CB9">
            <w:pPr>
              <w:autoSpaceDE w:val="0"/>
              <w:autoSpaceDN w:val="0"/>
              <w:adjustRightInd w:val="0"/>
              <w:jc w:val="center"/>
              <w:outlineLvl w:val="2"/>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5F98FC91" wp14:editId="0B1E30C7">
                  <wp:extent cx="2713744" cy="112395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34362" cy="1132489"/>
                          </a:xfrm>
                          <a:prstGeom prst="rect">
                            <a:avLst/>
                          </a:prstGeom>
                          <a:noFill/>
                        </pic:spPr>
                      </pic:pic>
                    </a:graphicData>
                  </a:graphic>
                </wp:inline>
              </w:drawing>
            </w:r>
          </w:p>
          <w:p w:rsidR="00EA4C6D" w:rsidRPr="00D423B2" w:rsidRDefault="00EA4C6D" w:rsidP="00C64CB9">
            <w:pPr>
              <w:autoSpaceDE w:val="0"/>
              <w:autoSpaceDN w:val="0"/>
              <w:adjustRightInd w:val="0"/>
              <w:jc w:val="center"/>
              <w:outlineLvl w:val="2"/>
              <w:rPr>
                <w:rFonts w:ascii="Times New Roman" w:eastAsia="Times New Roman" w:hAnsi="Times New Roman" w:cs="Times New Roman"/>
                <w:sz w:val="24"/>
                <w:szCs w:val="24"/>
                <w:lang w:eastAsia="ru-RU"/>
              </w:rPr>
            </w:pPr>
          </w:p>
          <w:p w:rsidR="00EB6091" w:rsidRPr="00364A79" w:rsidRDefault="00EB6091" w:rsidP="00EB6091">
            <w:pPr>
              <w:pStyle w:val="1"/>
              <w:rPr>
                <w:rFonts w:ascii="Times New Roman" w:hAnsi="Times New Roman"/>
                <w:sz w:val="16"/>
                <w:szCs w:val="16"/>
                <w:lang w:val="ru-RU" w:eastAsia="ru-RU"/>
              </w:rPr>
            </w:pPr>
            <w:r w:rsidRPr="00364A79">
              <w:rPr>
                <w:rFonts w:ascii="Times New Roman" w:hAnsi="Times New Roman"/>
                <w:sz w:val="16"/>
                <w:szCs w:val="16"/>
                <w:lang w:val="ru-RU" w:eastAsia="ru-RU"/>
              </w:rPr>
              <w:t xml:space="preserve">Рис. 34. Распределение количества солнечных дней и дней с осадками </w:t>
            </w:r>
          </w:p>
          <w:p w:rsidR="00EA4C6D" w:rsidRPr="00D423B2" w:rsidRDefault="00EA4C6D" w:rsidP="00EA4C6D">
            <w:pPr>
              <w:pStyle w:val="1"/>
              <w:ind w:firstLine="709"/>
              <w:jc w:val="both"/>
              <w:rPr>
                <w:rFonts w:ascii="Times New Roman" w:hAnsi="Times New Roman"/>
                <w:sz w:val="16"/>
                <w:szCs w:val="16"/>
                <w:lang w:val="ru-RU" w:eastAsia="ru-RU"/>
              </w:rPr>
            </w:pPr>
          </w:p>
          <w:p w:rsidR="00364A79" w:rsidRPr="00364A79" w:rsidRDefault="00364A79" w:rsidP="00364A79">
            <w:pPr>
              <w:pStyle w:val="1"/>
              <w:ind w:firstLine="709"/>
              <w:jc w:val="both"/>
              <w:rPr>
                <w:rFonts w:ascii="Times New Roman" w:hAnsi="Times New Roman"/>
                <w:color w:val="000000"/>
                <w:sz w:val="24"/>
                <w:szCs w:val="24"/>
                <w:lang w:val="ru-RU" w:eastAsia="ru-RU"/>
              </w:rPr>
            </w:pPr>
            <w:r w:rsidRPr="00364A79">
              <w:rPr>
                <w:rFonts w:ascii="Times New Roman" w:hAnsi="Times New Roman"/>
                <w:color w:val="000000"/>
                <w:sz w:val="24"/>
                <w:szCs w:val="24"/>
                <w:lang w:val="ru-RU" w:eastAsia="ru-RU"/>
              </w:rPr>
              <w:t>Среднегодовое количество часов солнечного сияния в Татарстане находится в диапазоне 2,8 – 3,3 кВт*ч/м</w:t>
            </w:r>
            <w:r w:rsidRPr="00364A79">
              <w:rPr>
                <w:rFonts w:ascii="Times New Roman" w:hAnsi="Times New Roman"/>
                <w:color w:val="000000"/>
                <w:sz w:val="24"/>
                <w:szCs w:val="24"/>
                <w:vertAlign w:val="superscript"/>
                <w:lang w:val="ru-RU" w:eastAsia="ru-RU"/>
              </w:rPr>
              <w:t>2</w:t>
            </w:r>
            <w:r w:rsidRPr="00364A79">
              <w:rPr>
                <w:rFonts w:ascii="Times New Roman" w:hAnsi="Times New Roman"/>
                <w:color w:val="000000"/>
                <w:sz w:val="24"/>
                <w:szCs w:val="24"/>
                <w:lang w:val="ru-RU" w:eastAsia="ru-RU"/>
              </w:rPr>
              <w:t>.</w:t>
            </w:r>
          </w:p>
          <w:p w:rsidR="00EA4C6D" w:rsidRPr="00D423B2" w:rsidRDefault="00EA4C6D" w:rsidP="00EA4C6D">
            <w:pPr>
              <w:pStyle w:val="1"/>
              <w:ind w:firstLine="709"/>
              <w:jc w:val="both"/>
              <w:rPr>
                <w:rFonts w:ascii="Times New Roman" w:hAnsi="Times New Roman"/>
                <w:sz w:val="24"/>
                <w:szCs w:val="24"/>
                <w:lang w:val="ru-RU" w:eastAsia="ru-RU"/>
              </w:rPr>
            </w:pPr>
          </w:p>
          <w:p w:rsidR="00EA4C6D" w:rsidRPr="00D423B2" w:rsidRDefault="00EA4C6D" w:rsidP="00EA4C6D">
            <w:pPr>
              <w:pStyle w:val="1"/>
              <w:ind w:firstLine="709"/>
              <w:jc w:val="right"/>
              <w:rPr>
                <w:rFonts w:ascii="Times New Roman" w:hAnsi="Times New Roman"/>
                <w:sz w:val="24"/>
                <w:szCs w:val="24"/>
                <w:lang w:val="ru-RU"/>
              </w:rPr>
            </w:pPr>
            <w:r w:rsidRPr="00D423B2">
              <w:rPr>
                <w:rFonts w:ascii="Times New Roman" w:hAnsi="Times New Roman"/>
                <w:sz w:val="24"/>
                <w:szCs w:val="24"/>
                <w:lang w:val="ru-RU"/>
              </w:rPr>
              <w:t>Таблиц</w:t>
            </w:r>
            <w:r w:rsidR="00E665E3">
              <w:rPr>
                <w:rFonts w:ascii="Times New Roman" w:hAnsi="Times New Roman"/>
                <w:sz w:val="24"/>
                <w:szCs w:val="24"/>
                <w:lang w:val="ru-RU"/>
              </w:rPr>
              <w:t xml:space="preserve">а </w:t>
            </w:r>
            <w:r w:rsidRPr="00D423B2">
              <w:rPr>
                <w:rFonts w:ascii="Times New Roman" w:hAnsi="Times New Roman"/>
                <w:sz w:val="24"/>
                <w:szCs w:val="24"/>
                <w:lang w:val="ru-RU"/>
              </w:rPr>
              <w:t>17</w:t>
            </w:r>
          </w:p>
          <w:p w:rsidR="00EA4C6D" w:rsidRPr="00D423B2" w:rsidRDefault="00EA4C6D" w:rsidP="00EA4C6D">
            <w:pPr>
              <w:pStyle w:val="1"/>
              <w:ind w:firstLine="709"/>
              <w:jc w:val="center"/>
              <w:rPr>
                <w:rFonts w:ascii="Times New Roman" w:hAnsi="Times New Roman"/>
                <w:sz w:val="24"/>
                <w:szCs w:val="24"/>
                <w:lang w:val="ru-RU" w:eastAsia="ru-RU"/>
              </w:rPr>
            </w:pPr>
          </w:p>
          <w:p w:rsidR="005C36DD" w:rsidRPr="005C36DD" w:rsidRDefault="005C36DD" w:rsidP="005C36DD">
            <w:pPr>
              <w:pStyle w:val="1"/>
              <w:jc w:val="center"/>
              <w:rPr>
                <w:rFonts w:ascii="Times New Roman" w:hAnsi="Times New Roman"/>
                <w:sz w:val="24"/>
                <w:szCs w:val="24"/>
                <w:lang w:val="ru-RU" w:eastAsia="ru-RU"/>
              </w:rPr>
            </w:pPr>
            <w:r w:rsidRPr="005C36DD">
              <w:rPr>
                <w:rFonts w:ascii="Times New Roman" w:hAnsi="Times New Roman"/>
                <w:sz w:val="24"/>
                <w:szCs w:val="24"/>
                <w:lang w:val="ru-RU" w:eastAsia="ru-RU"/>
              </w:rPr>
              <w:t>Среднее количество часов в сутки солнечного сияния, кВт*ч/м</w:t>
            </w:r>
            <w:r w:rsidRPr="005C36DD">
              <w:rPr>
                <w:rFonts w:ascii="Times New Roman" w:hAnsi="Times New Roman"/>
                <w:sz w:val="24"/>
                <w:szCs w:val="24"/>
                <w:vertAlign w:val="superscript"/>
                <w:lang w:val="ru-RU" w:eastAsia="ru-RU"/>
              </w:rPr>
              <w:t>2</w:t>
            </w:r>
          </w:p>
          <w:p w:rsidR="00606269" w:rsidRPr="00D423B2" w:rsidRDefault="00606269" w:rsidP="00C64CB9">
            <w:pPr>
              <w:autoSpaceDE w:val="0"/>
              <w:autoSpaceDN w:val="0"/>
              <w:adjustRightInd w:val="0"/>
              <w:jc w:val="center"/>
              <w:outlineLvl w:val="2"/>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544"/>
              <w:gridCol w:w="431"/>
              <w:gridCol w:w="421"/>
              <w:gridCol w:w="274"/>
              <w:gridCol w:w="362"/>
              <w:gridCol w:w="228"/>
              <w:gridCol w:w="289"/>
              <w:gridCol w:w="288"/>
              <w:gridCol w:w="339"/>
              <w:gridCol w:w="457"/>
              <w:gridCol w:w="420"/>
              <w:gridCol w:w="363"/>
              <w:gridCol w:w="401"/>
              <w:gridCol w:w="201"/>
            </w:tblGrid>
            <w:tr w:rsidR="00A21B2D" w:rsidRPr="00EE54D2" w:rsidTr="0086028E">
              <w:trPr>
                <w:cantSplit/>
                <w:trHeight w:val="70"/>
              </w:trPr>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Город</w:t>
                  </w:r>
                </w:p>
              </w:tc>
              <w:tc>
                <w:tcPr>
                  <w:tcW w:w="429"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Январь</w:t>
                  </w:r>
                </w:p>
              </w:tc>
              <w:tc>
                <w:tcPr>
                  <w:tcW w:w="419"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Февраль</w:t>
                  </w:r>
                </w:p>
              </w:tc>
              <w:tc>
                <w:tcPr>
                  <w:tcW w:w="273"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Март</w:t>
                  </w:r>
                </w:p>
              </w:tc>
              <w:tc>
                <w:tcPr>
                  <w:tcW w:w="361"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Апрель</w:t>
                  </w:r>
                </w:p>
              </w:tc>
              <w:tc>
                <w:tcPr>
                  <w:tcW w:w="227"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Май</w:t>
                  </w:r>
                </w:p>
              </w:tc>
              <w:tc>
                <w:tcPr>
                  <w:tcW w:w="288"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Июнь</w:t>
                  </w:r>
                </w:p>
              </w:tc>
              <w:tc>
                <w:tcPr>
                  <w:tcW w:w="287"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Июль</w:t>
                  </w:r>
                </w:p>
              </w:tc>
              <w:tc>
                <w:tcPr>
                  <w:tcW w:w="338"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Август</w:t>
                  </w:r>
                </w:p>
              </w:tc>
              <w:tc>
                <w:tcPr>
                  <w:tcW w:w="455"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Сентябрь</w:t>
                  </w:r>
                </w:p>
              </w:tc>
              <w:tc>
                <w:tcPr>
                  <w:tcW w:w="418"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Октябрь</w:t>
                  </w:r>
                </w:p>
              </w:tc>
              <w:tc>
                <w:tcPr>
                  <w:tcW w:w="36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Ноябрь</w:t>
                  </w:r>
                </w:p>
              </w:tc>
              <w:tc>
                <w:tcPr>
                  <w:tcW w:w="400"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Декабрь</w:t>
                  </w:r>
                </w:p>
              </w:tc>
              <w:tc>
                <w:tcPr>
                  <w:tcW w:w="200"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Год</w:t>
                  </w:r>
                </w:p>
              </w:tc>
            </w:tr>
            <w:tr w:rsidR="00A21B2D" w:rsidRPr="00EE54D2" w:rsidTr="0086028E">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rPr>
                      <w:rFonts w:ascii="Times New Roman" w:hAnsi="Times New Roman"/>
                      <w:sz w:val="12"/>
                      <w:szCs w:val="12"/>
                      <w:lang w:val="ru-RU"/>
                    </w:rPr>
                  </w:pPr>
                  <w:r w:rsidRPr="00A21B2D">
                    <w:rPr>
                      <w:rFonts w:ascii="Times New Roman" w:hAnsi="Times New Roman"/>
                      <w:sz w:val="12"/>
                      <w:szCs w:val="12"/>
                      <w:lang w:val="ru-RU"/>
                    </w:rPr>
                    <w:t>Санкт-Петербург</w:t>
                  </w:r>
                </w:p>
              </w:tc>
              <w:tc>
                <w:tcPr>
                  <w:tcW w:w="42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0,35</w:t>
                  </w:r>
                </w:p>
              </w:tc>
              <w:tc>
                <w:tcPr>
                  <w:tcW w:w="41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1,08</w:t>
                  </w:r>
                </w:p>
              </w:tc>
              <w:tc>
                <w:tcPr>
                  <w:tcW w:w="273"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2,36</w:t>
                  </w:r>
                </w:p>
              </w:tc>
              <w:tc>
                <w:tcPr>
                  <w:tcW w:w="361"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3,98</w:t>
                  </w:r>
                </w:p>
              </w:tc>
              <w:tc>
                <w:tcPr>
                  <w:tcW w:w="22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5,46</w:t>
                  </w:r>
                </w:p>
              </w:tc>
              <w:tc>
                <w:tcPr>
                  <w:tcW w:w="28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5,78</w:t>
                  </w:r>
                </w:p>
              </w:tc>
              <w:tc>
                <w:tcPr>
                  <w:tcW w:w="28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5,61</w:t>
                  </w:r>
                </w:p>
              </w:tc>
              <w:tc>
                <w:tcPr>
                  <w:tcW w:w="33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4,31</w:t>
                  </w:r>
                </w:p>
              </w:tc>
              <w:tc>
                <w:tcPr>
                  <w:tcW w:w="455"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2,60</w:t>
                  </w:r>
                </w:p>
              </w:tc>
              <w:tc>
                <w:tcPr>
                  <w:tcW w:w="41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1,23</w:t>
                  </w:r>
                </w:p>
              </w:tc>
              <w:tc>
                <w:tcPr>
                  <w:tcW w:w="362"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0,50</w:t>
                  </w:r>
                </w:p>
              </w:tc>
              <w:tc>
                <w:tcPr>
                  <w:tcW w:w="4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0,20</w:t>
                  </w:r>
                </w:p>
              </w:tc>
              <w:tc>
                <w:tcPr>
                  <w:tcW w:w="2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2,80</w:t>
                  </w:r>
                </w:p>
              </w:tc>
            </w:tr>
            <w:tr w:rsidR="00A21B2D" w:rsidRPr="00EE54D2" w:rsidTr="0086028E">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rPr>
                      <w:rFonts w:ascii="Times New Roman" w:hAnsi="Times New Roman"/>
                      <w:sz w:val="12"/>
                      <w:szCs w:val="12"/>
                      <w:lang w:val="ru-RU"/>
                    </w:rPr>
                  </w:pPr>
                  <w:r w:rsidRPr="00A21B2D">
                    <w:rPr>
                      <w:rFonts w:ascii="Times New Roman" w:hAnsi="Times New Roman"/>
                      <w:sz w:val="12"/>
                      <w:szCs w:val="12"/>
                      <w:lang w:val="ru-RU"/>
                    </w:rPr>
                    <w:t>Москва</w:t>
                  </w:r>
                </w:p>
              </w:tc>
              <w:tc>
                <w:tcPr>
                  <w:tcW w:w="42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0,50</w:t>
                  </w:r>
                </w:p>
              </w:tc>
              <w:tc>
                <w:tcPr>
                  <w:tcW w:w="41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0,94</w:t>
                  </w:r>
                </w:p>
              </w:tc>
              <w:tc>
                <w:tcPr>
                  <w:tcW w:w="273"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2,63</w:t>
                  </w:r>
                </w:p>
              </w:tc>
              <w:tc>
                <w:tcPr>
                  <w:tcW w:w="361"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3,07</w:t>
                  </w:r>
                </w:p>
              </w:tc>
              <w:tc>
                <w:tcPr>
                  <w:tcW w:w="22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4,69</w:t>
                  </w:r>
                </w:p>
              </w:tc>
              <w:tc>
                <w:tcPr>
                  <w:tcW w:w="28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5,44</w:t>
                  </w:r>
                </w:p>
              </w:tc>
              <w:tc>
                <w:tcPr>
                  <w:tcW w:w="28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5,51</w:t>
                  </w:r>
                </w:p>
              </w:tc>
              <w:tc>
                <w:tcPr>
                  <w:tcW w:w="33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4,26</w:t>
                  </w:r>
                </w:p>
              </w:tc>
              <w:tc>
                <w:tcPr>
                  <w:tcW w:w="455"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2,34</w:t>
                  </w:r>
                </w:p>
              </w:tc>
              <w:tc>
                <w:tcPr>
                  <w:tcW w:w="41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1,08</w:t>
                  </w:r>
                </w:p>
              </w:tc>
              <w:tc>
                <w:tcPr>
                  <w:tcW w:w="362"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0,56</w:t>
                  </w:r>
                </w:p>
              </w:tc>
              <w:tc>
                <w:tcPr>
                  <w:tcW w:w="4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0,36</w:t>
                  </w:r>
                </w:p>
              </w:tc>
              <w:tc>
                <w:tcPr>
                  <w:tcW w:w="2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2,63</w:t>
                  </w:r>
                </w:p>
              </w:tc>
            </w:tr>
            <w:tr w:rsidR="00A21B2D" w:rsidRPr="00EE54D2" w:rsidTr="0086028E">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rPr>
                      <w:rFonts w:ascii="Times New Roman" w:hAnsi="Times New Roman"/>
                      <w:sz w:val="12"/>
                      <w:szCs w:val="12"/>
                      <w:lang w:val="ru-RU"/>
                    </w:rPr>
                  </w:pPr>
                  <w:r w:rsidRPr="00A21B2D">
                    <w:rPr>
                      <w:rFonts w:ascii="Times New Roman" w:hAnsi="Times New Roman"/>
                      <w:sz w:val="12"/>
                      <w:szCs w:val="12"/>
                      <w:lang w:val="ru-RU"/>
                    </w:rPr>
                    <w:t>Казань</w:t>
                  </w:r>
                </w:p>
              </w:tc>
              <w:tc>
                <w:tcPr>
                  <w:tcW w:w="42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0,68</w:t>
                  </w:r>
                </w:p>
              </w:tc>
              <w:tc>
                <w:tcPr>
                  <w:tcW w:w="41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1,44</w:t>
                  </w:r>
                </w:p>
              </w:tc>
              <w:tc>
                <w:tcPr>
                  <w:tcW w:w="273"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2,82</w:t>
                  </w:r>
                </w:p>
              </w:tc>
              <w:tc>
                <w:tcPr>
                  <w:tcW w:w="361"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4,29</w:t>
                  </w:r>
                </w:p>
              </w:tc>
              <w:tc>
                <w:tcPr>
                  <w:tcW w:w="22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5,52</w:t>
                  </w:r>
                </w:p>
              </w:tc>
              <w:tc>
                <w:tcPr>
                  <w:tcW w:w="28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5,93</w:t>
                  </w:r>
                </w:p>
              </w:tc>
              <w:tc>
                <w:tcPr>
                  <w:tcW w:w="28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5,72</w:t>
                  </w:r>
                </w:p>
              </w:tc>
              <w:tc>
                <w:tcPr>
                  <w:tcW w:w="33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4,49</w:t>
                  </w:r>
                </w:p>
              </w:tc>
              <w:tc>
                <w:tcPr>
                  <w:tcW w:w="455"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2,86</w:t>
                  </w:r>
                </w:p>
              </w:tc>
              <w:tc>
                <w:tcPr>
                  <w:tcW w:w="41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1,51</w:t>
                  </w:r>
                </w:p>
              </w:tc>
              <w:tc>
                <w:tcPr>
                  <w:tcW w:w="362"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0,83</w:t>
                  </w:r>
                </w:p>
              </w:tc>
              <w:tc>
                <w:tcPr>
                  <w:tcW w:w="4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0,54</w:t>
                  </w:r>
                </w:p>
              </w:tc>
              <w:tc>
                <w:tcPr>
                  <w:tcW w:w="2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3,06</w:t>
                  </w:r>
                </w:p>
              </w:tc>
            </w:tr>
            <w:tr w:rsidR="00A21B2D" w:rsidRPr="00EE54D2" w:rsidTr="0086028E">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rPr>
                      <w:rFonts w:ascii="Times New Roman" w:hAnsi="Times New Roman"/>
                      <w:sz w:val="12"/>
                      <w:szCs w:val="12"/>
                      <w:lang w:val="ru-RU"/>
                    </w:rPr>
                  </w:pPr>
                  <w:r w:rsidRPr="00A21B2D">
                    <w:rPr>
                      <w:rFonts w:ascii="Times New Roman" w:hAnsi="Times New Roman"/>
                      <w:sz w:val="12"/>
                      <w:szCs w:val="12"/>
                      <w:lang w:val="ru-RU"/>
                    </w:rPr>
                    <w:t>Нижний Новгород</w:t>
                  </w:r>
                </w:p>
              </w:tc>
              <w:tc>
                <w:tcPr>
                  <w:tcW w:w="42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0,64</w:t>
                  </w:r>
                </w:p>
              </w:tc>
              <w:tc>
                <w:tcPr>
                  <w:tcW w:w="41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1,45</w:t>
                  </w:r>
                </w:p>
              </w:tc>
              <w:tc>
                <w:tcPr>
                  <w:tcW w:w="273"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2,75</w:t>
                  </w:r>
                </w:p>
              </w:tc>
              <w:tc>
                <w:tcPr>
                  <w:tcW w:w="361"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3,95</w:t>
                  </w:r>
                </w:p>
              </w:tc>
              <w:tc>
                <w:tcPr>
                  <w:tcW w:w="22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5,34</w:t>
                  </w:r>
                </w:p>
              </w:tc>
              <w:tc>
                <w:tcPr>
                  <w:tcW w:w="28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5,60</w:t>
                  </w:r>
                </w:p>
              </w:tc>
              <w:tc>
                <w:tcPr>
                  <w:tcW w:w="28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5,50</w:t>
                  </w:r>
                </w:p>
              </w:tc>
              <w:tc>
                <w:tcPr>
                  <w:tcW w:w="33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4,27</w:t>
                  </w:r>
                </w:p>
              </w:tc>
              <w:tc>
                <w:tcPr>
                  <w:tcW w:w="455"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2,69</w:t>
                  </w:r>
                </w:p>
              </w:tc>
              <w:tc>
                <w:tcPr>
                  <w:tcW w:w="41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1,45</w:t>
                  </w:r>
                </w:p>
              </w:tc>
              <w:tc>
                <w:tcPr>
                  <w:tcW w:w="362"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0,75</w:t>
                  </w:r>
                </w:p>
              </w:tc>
              <w:tc>
                <w:tcPr>
                  <w:tcW w:w="4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0,45</w:t>
                  </w:r>
                </w:p>
              </w:tc>
              <w:tc>
                <w:tcPr>
                  <w:tcW w:w="2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2,91</w:t>
                  </w:r>
                </w:p>
              </w:tc>
            </w:tr>
            <w:tr w:rsidR="00A21B2D" w:rsidRPr="00EE54D2" w:rsidTr="0086028E">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rPr>
                      <w:rFonts w:ascii="Times New Roman" w:hAnsi="Times New Roman"/>
                      <w:sz w:val="12"/>
                      <w:szCs w:val="12"/>
                      <w:lang w:val="ru-RU"/>
                    </w:rPr>
                  </w:pPr>
                  <w:r w:rsidRPr="00A21B2D">
                    <w:rPr>
                      <w:rFonts w:ascii="Times New Roman" w:hAnsi="Times New Roman"/>
                      <w:sz w:val="12"/>
                      <w:szCs w:val="12"/>
                      <w:lang w:val="ru-RU"/>
                    </w:rPr>
                    <w:t>Екатеринбург</w:t>
                  </w:r>
                </w:p>
              </w:tc>
              <w:tc>
                <w:tcPr>
                  <w:tcW w:w="42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0,64</w:t>
                  </w:r>
                </w:p>
              </w:tc>
              <w:tc>
                <w:tcPr>
                  <w:tcW w:w="41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1,05</w:t>
                  </w:r>
                </w:p>
              </w:tc>
              <w:tc>
                <w:tcPr>
                  <w:tcW w:w="273"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2,94</w:t>
                  </w:r>
                </w:p>
              </w:tc>
              <w:tc>
                <w:tcPr>
                  <w:tcW w:w="361"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4,11</w:t>
                  </w:r>
                </w:p>
              </w:tc>
              <w:tc>
                <w:tcPr>
                  <w:tcW w:w="22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5,11</w:t>
                  </w:r>
                </w:p>
              </w:tc>
              <w:tc>
                <w:tcPr>
                  <w:tcW w:w="28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5,72</w:t>
                  </w:r>
                </w:p>
              </w:tc>
              <w:tc>
                <w:tcPr>
                  <w:tcW w:w="28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5,22</w:t>
                  </w:r>
                </w:p>
              </w:tc>
              <w:tc>
                <w:tcPr>
                  <w:tcW w:w="33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4,06</w:t>
                  </w:r>
                </w:p>
              </w:tc>
              <w:tc>
                <w:tcPr>
                  <w:tcW w:w="455"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2,56</w:t>
                  </w:r>
                </w:p>
              </w:tc>
              <w:tc>
                <w:tcPr>
                  <w:tcW w:w="41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1,36</w:t>
                  </w:r>
                </w:p>
              </w:tc>
              <w:tc>
                <w:tcPr>
                  <w:tcW w:w="362"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0,72</w:t>
                  </w:r>
                </w:p>
              </w:tc>
              <w:tc>
                <w:tcPr>
                  <w:tcW w:w="4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0,44</w:t>
                  </w:r>
                </w:p>
              </w:tc>
              <w:tc>
                <w:tcPr>
                  <w:tcW w:w="2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2,87</w:t>
                  </w:r>
                </w:p>
              </w:tc>
            </w:tr>
          </w:tbl>
          <w:p w:rsidR="00A21B2D" w:rsidRDefault="00A21B2D" w:rsidP="00606269">
            <w:pPr>
              <w:pStyle w:val="1"/>
              <w:ind w:firstLine="709"/>
              <w:jc w:val="right"/>
              <w:rPr>
                <w:rFonts w:ascii="Times New Roman" w:hAnsi="Times New Roman"/>
                <w:sz w:val="24"/>
                <w:szCs w:val="24"/>
                <w:lang w:val="ru-RU"/>
              </w:rPr>
            </w:pPr>
          </w:p>
          <w:p w:rsidR="00606269" w:rsidRPr="00D423B2" w:rsidRDefault="007915C3" w:rsidP="00606269">
            <w:pPr>
              <w:pStyle w:val="1"/>
              <w:ind w:firstLine="709"/>
              <w:jc w:val="right"/>
              <w:rPr>
                <w:rFonts w:ascii="Times New Roman" w:hAnsi="Times New Roman"/>
                <w:sz w:val="24"/>
                <w:szCs w:val="24"/>
                <w:lang w:val="ru-RU"/>
              </w:rPr>
            </w:pPr>
            <w:r>
              <w:rPr>
                <w:rFonts w:ascii="Times New Roman" w:hAnsi="Times New Roman"/>
                <w:sz w:val="24"/>
                <w:szCs w:val="24"/>
                <w:lang w:val="ru-RU"/>
              </w:rPr>
              <w:t xml:space="preserve">Таблица </w:t>
            </w:r>
            <w:r w:rsidR="00606269" w:rsidRPr="00D423B2">
              <w:rPr>
                <w:rFonts w:ascii="Times New Roman" w:hAnsi="Times New Roman"/>
                <w:sz w:val="24"/>
                <w:szCs w:val="24"/>
                <w:lang w:val="ru-RU"/>
              </w:rPr>
              <w:t>18</w:t>
            </w:r>
          </w:p>
          <w:p w:rsidR="00606269" w:rsidRPr="00D423B2" w:rsidRDefault="00606269" w:rsidP="00606269">
            <w:pPr>
              <w:pStyle w:val="1"/>
              <w:ind w:firstLine="709"/>
              <w:jc w:val="right"/>
              <w:rPr>
                <w:rFonts w:ascii="Times New Roman" w:hAnsi="Times New Roman"/>
                <w:sz w:val="24"/>
                <w:szCs w:val="24"/>
                <w:lang w:val="ru-RU"/>
              </w:rPr>
            </w:pPr>
          </w:p>
          <w:p w:rsidR="00AA0AEB" w:rsidRPr="00AA0AEB" w:rsidRDefault="00AA0AEB" w:rsidP="00AA0AEB">
            <w:pPr>
              <w:pStyle w:val="1"/>
              <w:jc w:val="center"/>
              <w:rPr>
                <w:rFonts w:ascii="Times New Roman" w:hAnsi="Times New Roman"/>
                <w:sz w:val="24"/>
                <w:szCs w:val="24"/>
                <w:lang w:val="ru-RU" w:eastAsia="ru-RU"/>
              </w:rPr>
            </w:pPr>
            <w:r w:rsidRPr="00AA0AEB">
              <w:rPr>
                <w:rFonts w:ascii="Times New Roman" w:hAnsi="Times New Roman"/>
                <w:sz w:val="24"/>
                <w:szCs w:val="24"/>
                <w:lang w:val="ru-RU" w:eastAsia="ru-RU"/>
              </w:rPr>
              <w:t>Количество солнечной энергии, приходящейся на поверхность солнечного модуля, для г. Казань в зависимости от угла наклона, кВт*ч/м</w:t>
            </w:r>
            <w:r w:rsidRPr="00AA0AEB">
              <w:rPr>
                <w:rFonts w:ascii="Times New Roman" w:hAnsi="Times New Roman"/>
                <w:sz w:val="24"/>
                <w:szCs w:val="24"/>
                <w:vertAlign w:val="superscript"/>
                <w:lang w:val="ru-RU" w:eastAsia="ru-RU"/>
              </w:rPr>
              <w:t>2</w:t>
            </w:r>
          </w:p>
          <w:p w:rsidR="00AA0AEB" w:rsidRDefault="00AA0AEB" w:rsidP="00BD52A7">
            <w:pPr>
              <w:pStyle w:val="1"/>
              <w:ind w:firstLine="709"/>
              <w:jc w:val="both"/>
              <w:rPr>
                <w:rFonts w:ascii="Times New Roman" w:hAnsi="Times New Roman"/>
                <w:sz w:val="24"/>
                <w:szCs w:val="24"/>
                <w:lang w:val="ru-RU"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1"/>
              <w:gridCol w:w="288"/>
              <w:gridCol w:w="298"/>
              <w:gridCol w:w="339"/>
              <w:gridCol w:w="280"/>
              <w:gridCol w:w="287"/>
              <w:gridCol w:w="316"/>
              <w:gridCol w:w="325"/>
              <w:gridCol w:w="288"/>
              <w:gridCol w:w="287"/>
              <w:gridCol w:w="334"/>
              <w:gridCol w:w="298"/>
              <w:gridCol w:w="281"/>
              <w:gridCol w:w="286"/>
            </w:tblGrid>
            <w:tr w:rsidR="00777568" w:rsidRPr="00EE54D2"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кВт*ч/м</w:t>
                  </w:r>
                  <w:r w:rsidRPr="00777568">
                    <w:rPr>
                      <w:color w:val="000000"/>
                      <w:sz w:val="12"/>
                      <w:szCs w:val="12"/>
                      <w:vertAlign w:val="superscript"/>
                    </w:rPr>
                    <w:t>2</w:t>
                  </w:r>
                  <w:r w:rsidRPr="00777568">
                    <w:rPr>
                      <w:color w:val="000000"/>
                      <w:sz w:val="12"/>
                      <w:szCs w:val="12"/>
                    </w:rPr>
                    <w:t>/день</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Янв</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Фев</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56"/>
                    <w:jc w:val="center"/>
                    <w:rPr>
                      <w:color w:val="000000"/>
                      <w:sz w:val="12"/>
                      <w:szCs w:val="12"/>
                    </w:rPr>
                  </w:pPr>
                  <w:r w:rsidRPr="00777568">
                    <w:rPr>
                      <w:color w:val="000000"/>
                      <w:sz w:val="12"/>
                      <w:szCs w:val="12"/>
                    </w:rPr>
                    <w:t>Март</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Апр</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Май</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Июнь</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Июль</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Авг</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Сент</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Окт</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Нояб</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Дек</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Год</w:t>
                  </w:r>
                </w:p>
              </w:tc>
            </w:tr>
            <w:tr w:rsidR="00777568" w:rsidRPr="00EE54D2"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Угол наклона 0</w:t>
                  </w:r>
                  <w:r w:rsidRPr="00777568">
                    <w:rPr>
                      <w:color w:val="000000"/>
                      <w:sz w:val="12"/>
                      <w:szCs w:val="12"/>
                      <w:vertAlign w:val="superscript"/>
                    </w:rPr>
                    <w:t>о</w:t>
                  </w:r>
                  <w:r w:rsidRPr="00777568">
                    <w:rPr>
                      <w:color w:val="000000"/>
                      <w:sz w:val="12"/>
                      <w:szCs w:val="12"/>
                    </w:rPr>
                    <w:t xml:space="preserve"> (горизонтально)</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0.68</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1.37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56"/>
                    <w:jc w:val="center"/>
                    <w:rPr>
                      <w:color w:val="000000"/>
                      <w:sz w:val="12"/>
                      <w:szCs w:val="12"/>
                    </w:rPr>
                  </w:pPr>
                  <w:r w:rsidRPr="00777568">
                    <w:rPr>
                      <w:color w:val="000000"/>
                      <w:sz w:val="12"/>
                      <w:szCs w:val="12"/>
                    </w:rPr>
                    <w:t>2.80</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4.26</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5.54</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6.00</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5.72</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4.50</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2.83</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1.50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0.82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0.54</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3.05</w:t>
                  </w:r>
                </w:p>
              </w:tc>
            </w:tr>
            <w:tr w:rsidR="00777568" w:rsidRPr="00EE54D2"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Угол</w:t>
                  </w:r>
                  <w:r w:rsidRPr="00777568">
                    <w:rPr>
                      <w:color w:val="000000"/>
                      <w:sz w:val="12"/>
                      <w:szCs w:val="12"/>
                      <w:lang w:val="en-US"/>
                    </w:rPr>
                    <w:t xml:space="preserve"> </w:t>
                  </w:r>
                  <w:r w:rsidRPr="00777568">
                    <w:rPr>
                      <w:color w:val="000000"/>
                      <w:sz w:val="12"/>
                      <w:szCs w:val="12"/>
                    </w:rPr>
                    <w:t>наклона</w:t>
                  </w:r>
                  <w:r w:rsidRPr="00777568">
                    <w:rPr>
                      <w:color w:val="000000"/>
                      <w:sz w:val="12"/>
                      <w:szCs w:val="12"/>
                      <w:lang w:val="en-US"/>
                    </w:rPr>
                    <w:t xml:space="preserve"> 40</w:t>
                  </w:r>
                  <w:r w:rsidRPr="00777568">
                    <w:rPr>
                      <w:color w:val="000000"/>
                      <w:sz w:val="12"/>
                      <w:szCs w:val="12"/>
                      <w:vertAlign w:val="superscript"/>
                    </w:rPr>
                    <w:t>о</w:t>
                  </w:r>
                  <w:r w:rsidRPr="00777568">
                    <w:rPr>
                      <w:color w:val="000000"/>
                      <w:sz w:val="12"/>
                      <w:szCs w:val="12"/>
                    </w:rPr>
                    <w:t xml:space="preserve"> </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1.34</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2.20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67"/>
                    <w:jc w:val="center"/>
                    <w:rPr>
                      <w:color w:val="000000"/>
                      <w:sz w:val="12"/>
                      <w:szCs w:val="12"/>
                    </w:rPr>
                  </w:pPr>
                  <w:r w:rsidRPr="00777568">
                    <w:rPr>
                      <w:color w:val="000000"/>
                      <w:sz w:val="12"/>
                      <w:szCs w:val="12"/>
                    </w:rPr>
                    <w:t>3.84</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4.89</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5.59</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5.73</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5.60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4.83</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3.51</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2.23</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1.52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1.22</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3.54</w:t>
                  </w:r>
                </w:p>
              </w:tc>
            </w:tr>
            <w:tr w:rsidR="00777568" w:rsidRPr="00EE54D2"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Угол наклона 55</w:t>
                  </w:r>
                  <w:r w:rsidRPr="00777568">
                    <w:rPr>
                      <w:color w:val="000000"/>
                      <w:sz w:val="12"/>
                      <w:szCs w:val="12"/>
                      <w:vertAlign w:val="superscript"/>
                    </w:rPr>
                    <w:t>о</w:t>
                  </w:r>
                  <w:r w:rsidRPr="00777568">
                    <w:rPr>
                      <w:color w:val="000000"/>
                      <w:sz w:val="12"/>
                      <w:szCs w:val="12"/>
                    </w:rPr>
                    <w:t xml:space="preserve"> (равный широте)</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1.48</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2.34</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67"/>
                    <w:jc w:val="center"/>
                    <w:rPr>
                      <w:color w:val="000000"/>
                      <w:sz w:val="12"/>
                      <w:szCs w:val="12"/>
                    </w:rPr>
                  </w:pPr>
                  <w:r w:rsidRPr="00777568">
                    <w:rPr>
                      <w:color w:val="000000"/>
                      <w:sz w:val="12"/>
                      <w:szCs w:val="12"/>
                    </w:rPr>
                    <w:t>3.94</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4.70</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5.13</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5.17</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5.09</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4.53</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3.45</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2.31</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1.65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1.37</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3.43</w:t>
                  </w:r>
                </w:p>
              </w:tc>
            </w:tr>
            <w:tr w:rsidR="00777568" w:rsidRPr="00EE54D2"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Угол</w:t>
                  </w:r>
                  <w:r w:rsidRPr="001E5FD5">
                    <w:rPr>
                      <w:color w:val="000000"/>
                      <w:sz w:val="12"/>
                      <w:szCs w:val="12"/>
                    </w:rPr>
                    <w:t xml:space="preserve"> </w:t>
                  </w:r>
                  <w:r w:rsidRPr="00777568">
                    <w:rPr>
                      <w:color w:val="000000"/>
                      <w:sz w:val="12"/>
                      <w:szCs w:val="12"/>
                    </w:rPr>
                    <w:t>наклона</w:t>
                  </w:r>
                  <w:r w:rsidRPr="001E5FD5">
                    <w:rPr>
                      <w:color w:val="000000"/>
                      <w:sz w:val="12"/>
                      <w:szCs w:val="12"/>
                    </w:rPr>
                    <w:t xml:space="preserve"> </w:t>
                  </w:r>
                  <w:r w:rsidRPr="00777568">
                    <w:rPr>
                      <w:color w:val="000000"/>
                      <w:sz w:val="12"/>
                      <w:szCs w:val="12"/>
                    </w:rPr>
                    <w:t>70</w:t>
                  </w:r>
                  <w:r w:rsidRPr="00777568">
                    <w:rPr>
                      <w:color w:val="000000"/>
                      <w:sz w:val="12"/>
                      <w:szCs w:val="12"/>
                      <w:vertAlign w:val="superscript"/>
                    </w:rPr>
                    <w:t>о</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1.54</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2.37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11"/>
                    <w:jc w:val="center"/>
                    <w:rPr>
                      <w:color w:val="000000"/>
                      <w:sz w:val="12"/>
                      <w:szCs w:val="12"/>
                    </w:rPr>
                  </w:pPr>
                  <w:r w:rsidRPr="00777568">
                    <w:rPr>
                      <w:color w:val="000000"/>
                      <w:sz w:val="12"/>
                      <w:szCs w:val="12"/>
                    </w:rPr>
                    <w:t>3.87</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4.30</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4.47</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4.43</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4.39</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4.05</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3.23</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2.27</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1.70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1.43</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3.17</w:t>
                  </w:r>
                </w:p>
              </w:tc>
            </w:tr>
            <w:tr w:rsidR="00777568" w:rsidRPr="00EE54D2"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Угол наклона 90</w:t>
                  </w:r>
                  <w:r w:rsidRPr="00777568">
                    <w:rPr>
                      <w:color w:val="000000"/>
                      <w:sz w:val="12"/>
                      <w:szCs w:val="12"/>
                      <w:vertAlign w:val="superscript"/>
                    </w:rPr>
                    <w:t xml:space="preserve">о </w:t>
                  </w:r>
                  <w:r w:rsidRPr="00777568">
                    <w:rPr>
                      <w:color w:val="000000"/>
                      <w:sz w:val="12"/>
                      <w:szCs w:val="12"/>
                    </w:rPr>
                    <w:t>(вертикально)</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1.49</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2.23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11"/>
                    <w:jc w:val="center"/>
                    <w:rPr>
                      <w:color w:val="000000"/>
                      <w:sz w:val="12"/>
                      <w:szCs w:val="12"/>
                    </w:rPr>
                  </w:pPr>
                  <w:r w:rsidRPr="00777568">
                    <w:rPr>
                      <w:color w:val="000000"/>
                      <w:sz w:val="12"/>
                      <w:szCs w:val="12"/>
                    </w:rPr>
                    <w:t>3.50</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3.48</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3.31</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3.19</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3.20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3.14</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2.70</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2.04</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1.61</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1.40</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2.61</w:t>
                  </w:r>
                </w:p>
              </w:tc>
            </w:tr>
            <w:tr w:rsidR="00777568" w:rsidRPr="00EE54D2"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Под оптимальным углом</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
                    <w:jc w:val="center"/>
                    <w:rPr>
                      <w:color w:val="000000"/>
                      <w:sz w:val="12"/>
                      <w:szCs w:val="12"/>
                    </w:rPr>
                  </w:pPr>
                  <w:r w:rsidRPr="00777568">
                    <w:rPr>
                      <w:color w:val="000000"/>
                      <w:sz w:val="12"/>
                      <w:szCs w:val="12"/>
                    </w:rPr>
                    <w:t>1.54</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67"/>
                    <w:jc w:val="center"/>
                    <w:rPr>
                      <w:color w:val="000000"/>
                      <w:sz w:val="12"/>
                      <w:szCs w:val="12"/>
                    </w:rPr>
                  </w:pPr>
                  <w:r w:rsidRPr="00777568">
                    <w:rPr>
                      <w:color w:val="000000"/>
                      <w:sz w:val="12"/>
                      <w:szCs w:val="12"/>
                    </w:rPr>
                    <w:t>2.37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54"/>
                    <w:jc w:val="center"/>
                    <w:rPr>
                      <w:color w:val="000000"/>
                      <w:sz w:val="12"/>
                      <w:szCs w:val="12"/>
                    </w:rPr>
                  </w:pPr>
                  <w:r w:rsidRPr="00777568">
                    <w:rPr>
                      <w:color w:val="000000"/>
                      <w:sz w:val="12"/>
                      <w:szCs w:val="12"/>
                    </w:rPr>
                    <w:t>3.94</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4.90</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5.79</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6.11</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5.89</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4.90</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3.51</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43"/>
                    <w:jc w:val="center"/>
                    <w:rPr>
                      <w:color w:val="000000"/>
                      <w:sz w:val="12"/>
                      <w:szCs w:val="12"/>
                    </w:rPr>
                  </w:pPr>
                  <w:r w:rsidRPr="00777568">
                    <w:rPr>
                      <w:color w:val="000000"/>
                      <w:sz w:val="12"/>
                      <w:szCs w:val="12"/>
                    </w:rPr>
                    <w:t>2.31</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1.70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1.44</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3.70</w:t>
                  </w:r>
                </w:p>
              </w:tc>
            </w:tr>
            <w:tr w:rsidR="00777568" w:rsidRPr="00EE54D2"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Оптимальный угол</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73</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89"/>
                    <w:jc w:val="center"/>
                    <w:rPr>
                      <w:color w:val="000000"/>
                      <w:sz w:val="12"/>
                      <w:szCs w:val="12"/>
                    </w:rPr>
                  </w:pPr>
                  <w:r w:rsidRPr="00777568">
                    <w:rPr>
                      <w:color w:val="000000"/>
                      <w:sz w:val="12"/>
                      <w:szCs w:val="12"/>
                    </w:rPr>
                    <w:t>66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87"/>
                    <w:jc w:val="center"/>
                    <w:rPr>
                      <w:color w:val="000000"/>
                      <w:sz w:val="12"/>
                      <w:szCs w:val="12"/>
                    </w:rPr>
                  </w:pPr>
                  <w:r w:rsidRPr="00777568">
                    <w:rPr>
                      <w:color w:val="000000"/>
                      <w:sz w:val="12"/>
                      <w:szCs w:val="12"/>
                    </w:rPr>
                    <w:t>56</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35</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22</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14</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99"/>
                    <w:jc w:val="center"/>
                    <w:rPr>
                      <w:color w:val="000000"/>
                      <w:sz w:val="12"/>
                      <w:szCs w:val="12"/>
                    </w:rPr>
                  </w:pPr>
                  <w:r w:rsidRPr="00777568">
                    <w:rPr>
                      <w:color w:val="000000"/>
                      <w:sz w:val="12"/>
                      <w:szCs w:val="12"/>
                    </w:rPr>
                    <w:t>16</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28</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43</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10"/>
                    <w:jc w:val="center"/>
                    <w:rPr>
                      <w:color w:val="000000"/>
                      <w:sz w:val="12"/>
                      <w:szCs w:val="12"/>
                    </w:rPr>
                  </w:pPr>
                  <w:r w:rsidRPr="00777568">
                    <w:rPr>
                      <w:color w:val="000000"/>
                      <w:sz w:val="12"/>
                      <w:szCs w:val="12"/>
                    </w:rPr>
                    <w:t>57</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70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75</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77"/>
                    <w:jc w:val="center"/>
                    <w:rPr>
                      <w:color w:val="000000"/>
                      <w:sz w:val="12"/>
                      <w:szCs w:val="12"/>
                    </w:rPr>
                  </w:pPr>
                  <w:r w:rsidRPr="00777568">
                    <w:rPr>
                      <w:color w:val="000000"/>
                      <w:sz w:val="12"/>
                      <w:szCs w:val="12"/>
                    </w:rPr>
                    <w:t>46</w:t>
                  </w:r>
                </w:p>
              </w:tc>
            </w:tr>
          </w:tbl>
          <w:p w:rsidR="00777568" w:rsidRDefault="00777568" w:rsidP="00BD52A7">
            <w:pPr>
              <w:pStyle w:val="1"/>
              <w:ind w:firstLine="709"/>
              <w:jc w:val="both"/>
              <w:rPr>
                <w:rFonts w:ascii="Times New Roman" w:hAnsi="Times New Roman"/>
                <w:sz w:val="24"/>
                <w:szCs w:val="24"/>
                <w:lang w:val="ru-RU" w:eastAsia="ru-RU"/>
              </w:rPr>
            </w:pP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Новочебоксарский завод «Хевел» начал выпуск солнечных модулей по принципиально новой технологии – гетероструктурной (Heterojunction – HJT). Ее отличает высокая эффективность выработки электроэнергии: средний КПД ячеек составляет более 22 процентов), а эффективность модулей – 20 процентов). </w:t>
            </w:r>
            <w:r w:rsidRPr="00D26D4E">
              <w:rPr>
                <w:rFonts w:ascii="Times New Roman" w:hAnsi="Times New Roman"/>
                <w:color w:val="000000"/>
                <w:sz w:val="24"/>
                <w:szCs w:val="24"/>
                <w:lang w:val="ru-RU" w:eastAsia="ru-RU"/>
              </w:rPr>
              <w:br/>
              <w:t>При этом в настоящее время средний показатель эффективности качественных серийных солнечных панелей в мире находится на уровне порядка 16 процентов. Новые модули «Хевел» эффективнее работают в условиях рассеянного света, а также при высоких и низких температурах, что существенно расширяет условия их применения.</w:t>
            </w: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Повысить объем выработки солнечной (фотоэлектрической) электростанции помогают системы слежения за солнцем (трекеры – Solar Tracker). Такие системы бывают однокоординатными, то есть обеспечивающими изменение угла наклона солнечных модулей в одной плоскости, по вертикали (вверх – вниз) или горизонтали (восток – запад), двух- и многокоординатными.  С их помощью повышается коэффициент использования мощности объектов солнечной генерации, соответственно, выработка.</w:t>
            </w: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Развитие солнечной энергетики в Татарстане сдерживается рядом факторов:</w:t>
            </w: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обладая низкой плотностью энергии, фотоэлектрическая генерация требует достаточно больших площадей для размещения мощностей;</w:t>
            </w: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осенний и зимний периоды характеризуются высокой облачностью с небольшим числом солнечных дней, что снижает выработку.</w:t>
            </w: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Одним из эффективных способов улучшения технико-экономических показателей фотоэлектрических установок является их совместное использование с ветроустановками.</w:t>
            </w:r>
          </w:p>
          <w:p w:rsidR="00BD52A7" w:rsidRPr="00D423B2" w:rsidRDefault="00BD52A7" w:rsidP="00BD52A7">
            <w:pPr>
              <w:pStyle w:val="1"/>
              <w:ind w:firstLine="709"/>
              <w:rPr>
                <w:rFonts w:ascii="Times New Roman" w:hAnsi="Times New Roman"/>
                <w:sz w:val="24"/>
                <w:szCs w:val="24"/>
                <w:lang w:val="ru-RU"/>
              </w:rPr>
            </w:pPr>
          </w:p>
          <w:p w:rsidR="00BD52A7" w:rsidRDefault="00FA42A6" w:rsidP="00BD52A7">
            <w:pPr>
              <w:pStyle w:val="1"/>
              <w:ind w:firstLine="709"/>
              <w:jc w:val="both"/>
              <w:rPr>
                <w:rFonts w:ascii="Times New Roman" w:hAnsi="Times New Roman"/>
                <w:sz w:val="24"/>
                <w:szCs w:val="24"/>
                <w:lang w:val="ru-RU"/>
              </w:rPr>
            </w:pPr>
            <w:r w:rsidRPr="00FA42A6">
              <w:rPr>
                <w:rFonts w:ascii="Times New Roman" w:hAnsi="Times New Roman"/>
                <w:sz w:val="24"/>
                <w:szCs w:val="24"/>
                <w:lang w:val="ru-RU"/>
              </w:rPr>
              <w:t>4.4.3. Термическая переработка твердых коммунальных отходов с получением электроэнергии</w:t>
            </w:r>
          </w:p>
          <w:p w:rsidR="00FA42A6" w:rsidRPr="00D423B2" w:rsidRDefault="00FA42A6" w:rsidP="00BD52A7">
            <w:pPr>
              <w:pStyle w:val="1"/>
              <w:ind w:firstLine="709"/>
              <w:jc w:val="both"/>
              <w:rPr>
                <w:rFonts w:ascii="Times New Roman" w:hAnsi="Times New Roman"/>
                <w:sz w:val="24"/>
                <w:szCs w:val="24"/>
                <w:lang w:val="ru-RU" w:eastAsia="ru-RU"/>
              </w:rPr>
            </w:pP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Твердые коммунальные отходы (далее – ТКО) по структуре их образования так же можно отнести к возобновляемым источникам энергии. ТКО – это остатки продуктов и предметы, которые были использованы в быту и утратили свои потребительские характеристики. ТКО состоят из:</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пищевые отходы – 24 процента;</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бумага, картон – 21 процент;</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полимеры –13 процентов;</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стекло – 13 процентов;</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полиэтилентерефталат – 4 процента;</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другое (например, текстиль, дерево, кожа, металл) – 25 процентов.</w:t>
            </w:r>
          </w:p>
          <w:p w:rsidR="00FA082A" w:rsidRPr="00D423B2"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Схема обращения с отходами представлена на рисунке 35, согласно которому даже использование отходов в виде вторичного сырья ограничено определенным количеством циклов, после которых их необходимо утилизировать. Их утилизация с выработкой тепловой и электрической энергии является одним из эффективных решений.</w:t>
            </w:r>
          </w:p>
          <w:p w:rsidR="00344A80" w:rsidRDefault="00344A80" w:rsidP="00606269">
            <w:pPr>
              <w:jc w:val="center"/>
              <w:rPr>
                <w:rFonts w:ascii="Times New Roman" w:eastAsia="Times New Roman" w:hAnsi="Times New Roman" w:cs="Times New Roman"/>
                <w:sz w:val="24"/>
                <w:szCs w:val="24"/>
                <w:lang w:eastAsia="ru-RU"/>
              </w:rPr>
            </w:pPr>
          </w:p>
          <w:p w:rsidR="00344A80" w:rsidRDefault="00344A80" w:rsidP="00606269">
            <w:pPr>
              <w:jc w:val="center"/>
              <w:rPr>
                <w:rFonts w:ascii="Times New Roman" w:eastAsia="Times New Roman" w:hAnsi="Times New Roman" w:cs="Times New Roman"/>
                <w:noProof/>
                <w:sz w:val="24"/>
                <w:szCs w:val="24"/>
                <w:lang w:eastAsia="ru-RU"/>
              </w:rPr>
            </w:pPr>
          </w:p>
          <w:p w:rsidR="00344A80" w:rsidRDefault="00344A80" w:rsidP="00606269">
            <w:pPr>
              <w:jc w:val="center"/>
              <w:rPr>
                <w:rFonts w:ascii="Times New Roman" w:eastAsia="Times New Roman" w:hAnsi="Times New Roman" w:cs="Times New Roman"/>
                <w:noProof/>
                <w:sz w:val="24"/>
                <w:szCs w:val="24"/>
                <w:lang w:eastAsia="ru-RU"/>
              </w:rPr>
            </w:pPr>
          </w:p>
          <w:p w:rsidR="00733B46" w:rsidRDefault="00733B46" w:rsidP="00733B46">
            <w:pPr>
              <w:rPr>
                <w:rFonts w:ascii="Times New Roman" w:eastAsia="Times New Roman" w:hAnsi="Times New Roman" w:cs="Times New Roman"/>
                <w:noProof/>
                <w:sz w:val="24"/>
                <w:szCs w:val="24"/>
                <w:lang w:eastAsia="ru-RU"/>
              </w:rPr>
            </w:pPr>
          </w:p>
          <w:p w:rsidR="00344A80" w:rsidRDefault="00344A80" w:rsidP="00606269">
            <w:pPr>
              <w:jc w:val="center"/>
              <w:rPr>
                <w:rFonts w:ascii="Times New Roman" w:eastAsia="Times New Roman" w:hAnsi="Times New Roman" w:cs="Times New Roman"/>
                <w:noProof/>
                <w:sz w:val="24"/>
                <w:szCs w:val="24"/>
                <w:lang w:eastAsia="ru-RU"/>
              </w:rPr>
            </w:pPr>
          </w:p>
          <w:p w:rsidR="00EF238A" w:rsidRPr="00D423B2" w:rsidRDefault="00FA082A" w:rsidP="00606269">
            <w:pPr>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2041FD90" wp14:editId="1EA94ACA">
                  <wp:extent cx="2790190" cy="1455221"/>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02313" cy="1461544"/>
                          </a:xfrm>
                          <a:prstGeom prst="rect">
                            <a:avLst/>
                          </a:prstGeom>
                          <a:noFill/>
                        </pic:spPr>
                      </pic:pic>
                    </a:graphicData>
                  </a:graphic>
                </wp:inline>
              </w:drawing>
            </w:r>
          </w:p>
          <w:p w:rsidR="0079429D" w:rsidRDefault="0079429D" w:rsidP="00631AA6">
            <w:pPr>
              <w:pStyle w:val="1"/>
              <w:ind w:firstLine="709"/>
              <w:jc w:val="center"/>
              <w:rPr>
                <w:rFonts w:ascii="Times New Roman" w:hAnsi="Times New Roman"/>
                <w:sz w:val="16"/>
                <w:szCs w:val="16"/>
                <w:lang w:val="ru-RU" w:eastAsia="ru-RU"/>
              </w:rPr>
            </w:pPr>
          </w:p>
          <w:p w:rsidR="00631AA6" w:rsidRPr="0079429D" w:rsidRDefault="0079429D" w:rsidP="00631AA6">
            <w:pPr>
              <w:pStyle w:val="1"/>
              <w:ind w:firstLine="709"/>
              <w:jc w:val="center"/>
              <w:rPr>
                <w:rFonts w:ascii="Times New Roman" w:hAnsi="Times New Roman"/>
                <w:sz w:val="16"/>
                <w:szCs w:val="16"/>
                <w:lang w:val="ru-RU" w:eastAsia="ru-RU"/>
              </w:rPr>
            </w:pPr>
            <w:r w:rsidRPr="0079429D">
              <w:rPr>
                <w:rFonts w:ascii="Times New Roman" w:hAnsi="Times New Roman"/>
                <w:sz w:val="16"/>
                <w:szCs w:val="16"/>
                <w:lang w:val="ru-RU" w:eastAsia="ru-RU"/>
              </w:rPr>
              <w:t>Рис.35</w:t>
            </w:r>
            <w:r w:rsidR="00631AA6" w:rsidRPr="0079429D">
              <w:rPr>
                <w:rFonts w:ascii="Times New Roman" w:hAnsi="Times New Roman"/>
                <w:sz w:val="16"/>
                <w:szCs w:val="16"/>
                <w:lang w:val="ru-RU" w:eastAsia="ru-RU"/>
              </w:rPr>
              <w:t>. Схема обращения с отходами</w:t>
            </w:r>
          </w:p>
          <w:p w:rsidR="0079429D" w:rsidRDefault="0079429D" w:rsidP="0079429D">
            <w:pPr>
              <w:pStyle w:val="1"/>
              <w:jc w:val="both"/>
              <w:rPr>
                <w:rFonts w:ascii="Times New Roman" w:hAnsi="Times New Roman"/>
                <w:sz w:val="24"/>
                <w:szCs w:val="24"/>
                <w:lang w:val="ru-RU" w:eastAsia="ru-RU"/>
              </w:rPr>
            </w:pPr>
          </w:p>
          <w:p w:rsidR="00572E0F" w:rsidRPr="00572E0F" w:rsidRDefault="00572E0F" w:rsidP="00572E0F">
            <w:pPr>
              <w:pStyle w:val="1"/>
              <w:ind w:firstLine="709"/>
              <w:jc w:val="both"/>
              <w:rPr>
                <w:rFonts w:ascii="Times New Roman" w:hAnsi="Times New Roman"/>
                <w:sz w:val="24"/>
                <w:szCs w:val="24"/>
                <w:lang w:val="ru-RU" w:eastAsia="ru-RU"/>
              </w:rPr>
            </w:pPr>
            <w:r>
              <w:rPr>
                <w:rFonts w:ascii="Times New Roman" w:hAnsi="Times New Roman"/>
                <w:sz w:val="24"/>
                <w:szCs w:val="24"/>
                <w:lang w:val="ru-RU" w:eastAsia="ru-RU"/>
              </w:rPr>
              <w:t xml:space="preserve">  </w:t>
            </w:r>
            <w:r w:rsidRPr="00572E0F">
              <w:rPr>
                <w:rFonts w:ascii="Times New Roman" w:hAnsi="Times New Roman"/>
                <w:sz w:val="24"/>
                <w:szCs w:val="24"/>
                <w:lang w:val="ru-RU" w:eastAsia="ru-RU"/>
              </w:rPr>
              <w:t>Основным способом термической переработки ТКО на сегодня является их прямое сжигание (известны также технологии, основу которых составляют процессы газификации, пиролиза, сжигания в шлаковом расплаве и т.д., в том числе с использованием плазматронов). В настоящее время в мире эксплуатируется более 2 тыс. установок, сжигающих ТКО на механических колосниковых решетках, около 200 топок для термической переработки отходов в кипящем слое, примерно</w:t>
            </w:r>
          </w:p>
          <w:p w:rsidR="00572E0F" w:rsidRPr="00572E0F" w:rsidRDefault="00572E0F" w:rsidP="00572E0F">
            <w:pPr>
              <w:pStyle w:val="1"/>
              <w:ind w:firstLine="709"/>
              <w:jc w:val="both"/>
              <w:rPr>
                <w:rFonts w:ascii="Times New Roman" w:hAnsi="Times New Roman"/>
                <w:sz w:val="24"/>
                <w:szCs w:val="24"/>
                <w:lang w:val="ru-RU" w:eastAsia="ru-RU"/>
              </w:rPr>
            </w:pPr>
            <w:r w:rsidRPr="00572E0F">
              <w:rPr>
                <w:rFonts w:ascii="Times New Roman" w:hAnsi="Times New Roman"/>
                <w:sz w:val="24"/>
                <w:szCs w:val="24"/>
                <w:lang w:val="ru-RU" w:eastAsia="ru-RU"/>
              </w:rPr>
              <w:t>20 барабанных печей, где сжигают ТКО, а также единичные установки с использованием пиролиза и газификации.</w:t>
            </w:r>
          </w:p>
          <w:p w:rsidR="00572E0F" w:rsidRPr="00572E0F" w:rsidRDefault="00572E0F" w:rsidP="00572E0F">
            <w:pPr>
              <w:pStyle w:val="1"/>
              <w:ind w:firstLine="709"/>
              <w:jc w:val="both"/>
              <w:rPr>
                <w:rFonts w:ascii="Times New Roman" w:hAnsi="Times New Roman"/>
                <w:sz w:val="24"/>
                <w:szCs w:val="24"/>
                <w:lang w:val="ru-RU" w:eastAsia="ru-RU"/>
              </w:rPr>
            </w:pPr>
            <w:r w:rsidRPr="00572E0F">
              <w:rPr>
                <w:rFonts w:ascii="Times New Roman" w:hAnsi="Times New Roman"/>
                <w:sz w:val="24"/>
                <w:szCs w:val="24"/>
                <w:lang w:val="ru-RU" w:eastAsia="ru-RU"/>
              </w:rPr>
              <w:t>Основной проблемой, возникающей при термической переработке отходов, является образование большого количества топочных газов, которые могут содержать токсичные вещества. В связи с этим обязательно должна быть установлена многоступенчатая система очистки дымовых газов.</w:t>
            </w:r>
          </w:p>
          <w:p w:rsidR="00572E0F" w:rsidRPr="00572E0F" w:rsidRDefault="00572E0F" w:rsidP="00572E0F">
            <w:pPr>
              <w:pStyle w:val="1"/>
              <w:ind w:firstLine="709"/>
              <w:jc w:val="both"/>
              <w:rPr>
                <w:rFonts w:ascii="Times New Roman" w:hAnsi="Times New Roman"/>
                <w:sz w:val="24"/>
                <w:szCs w:val="24"/>
                <w:lang w:val="ru-RU" w:eastAsia="ru-RU"/>
              </w:rPr>
            </w:pPr>
            <w:r w:rsidRPr="00572E0F">
              <w:rPr>
                <w:rFonts w:ascii="Times New Roman" w:hAnsi="Times New Roman"/>
                <w:sz w:val="24"/>
                <w:szCs w:val="24"/>
                <w:lang w:val="ru-RU" w:eastAsia="ru-RU"/>
              </w:rPr>
              <w:t>В Татарстане планируется строительство мусоросжигательной ТЭС мощностью 55 МВт к 2022 году. Она будет способна утилизировать до 550 тыс. тонн отходов в год, и производить 381 млн кВт*ч электроэнергии в год. В настоящее время в Европе за счет термической утилизации отходов вырабатывается более 28 млрд кВт*ч электроэнергии и порядка 70 млрд кВт*ч тепловой энергии. В США суммарная электрическая мощность установок, сжигающих ТКО, составляет</w:t>
            </w:r>
          </w:p>
          <w:p w:rsidR="00572E0F" w:rsidRPr="00572E0F" w:rsidRDefault="00572E0F" w:rsidP="00572E0F">
            <w:pPr>
              <w:pStyle w:val="1"/>
              <w:ind w:firstLine="709"/>
              <w:jc w:val="both"/>
              <w:rPr>
                <w:rFonts w:ascii="Times New Roman" w:hAnsi="Times New Roman"/>
                <w:sz w:val="24"/>
                <w:szCs w:val="24"/>
                <w:lang w:val="ru-RU" w:eastAsia="ru-RU"/>
              </w:rPr>
            </w:pPr>
            <w:r w:rsidRPr="00572E0F">
              <w:rPr>
                <w:rFonts w:ascii="Times New Roman" w:hAnsi="Times New Roman"/>
                <w:sz w:val="24"/>
                <w:szCs w:val="24"/>
                <w:lang w:val="ru-RU" w:eastAsia="ru-RU"/>
              </w:rPr>
              <w:t>2 700 МВт. При этом следует отметить, что помимо энергообеспечения путем термической переработки отходов решается важная социальная проблема – очистка крупных городов от ТКО.</w:t>
            </w:r>
          </w:p>
          <w:p w:rsidR="00572E0F" w:rsidRPr="00D423B2" w:rsidRDefault="00572E0F" w:rsidP="00572E0F">
            <w:pPr>
              <w:pStyle w:val="1"/>
              <w:ind w:firstLine="709"/>
              <w:jc w:val="both"/>
              <w:rPr>
                <w:rFonts w:cs="Calibri"/>
                <w:sz w:val="24"/>
                <w:szCs w:val="24"/>
                <w:lang w:val="ru-RU" w:eastAsia="ru-RU"/>
              </w:rPr>
            </w:pPr>
            <w:r w:rsidRPr="00572E0F">
              <w:rPr>
                <w:rFonts w:ascii="Times New Roman" w:hAnsi="Times New Roman"/>
                <w:sz w:val="24"/>
                <w:szCs w:val="24"/>
                <w:lang w:val="ru-RU" w:eastAsia="ru-RU"/>
              </w:rPr>
              <w:t>Из новых термических процессов, апробированных в укрупненном масштабе, весьма перспективны процессы, связанные с газификацией отходов, так как сжигание газа является наиболее экологически чистым способом сжигания, не требующим сложной очистки отходящих газов.</w:t>
            </w:r>
          </w:p>
          <w:p w:rsidR="00CF3D0C" w:rsidRDefault="00CF3D0C" w:rsidP="00631AA6">
            <w:pPr>
              <w:pStyle w:val="1"/>
              <w:ind w:firstLine="709"/>
              <w:rPr>
                <w:rFonts w:ascii="Times New Roman" w:hAnsi="Times New Roman"/>
                <w:sz w:val="24"/>
                <w:szCs w:val="24"/>
                <w:lang w:val="ru-RU" w:eastAsia="ru-RU"/>
              </w:rPr>
            </w:pPr>
          </w:p>
          <w:p w:rsidR="00631AA6" w:rsidRPr="00D423B2" w:rsidRDefault="00631AA6" w:rsidP="00631AA6">
            <w:pPr>
              <w:pStyle w:val="1"/>
              <w:ind w:firstLine="709"/>
              <w:rPr>
                <w:rFonts w:ascii="Times New Roman" w:hAnsi="Times New Roman"/>
                <w:sz w:val="24"/>
                <w:szCs w:val="24"/>
                <w:lang w:val="ru-RU" w:eastAsia="ru-RU"/>
              </w:rPr>
            </w:pPr>
            <w:r w:rsidRPr="00D423B2">
              <w:rPr>
                <w:rFonts w:ascii="Times New Roman" w:hAnsi="Times New Roman"/>
                <w:sz w:val="24"/>
                <w:szCs w:val="24"/>
                <w:lang w:val="ru-RU" w:eastAsia="ru-RU"/>
              </w:rPr>
              <w:t>4.4.4. Малая гидроэнергетика</w:t>
            </w:r>
          </w:p>
          <w:p w:rsidR="00F31CC1" w:rsidRDefault="00F31CC1" w:rsidP="00631AA6">
            <w:pPr>
              <w:pStyle w:val="1"/>
              <w:ind w:firstLine="709"/>
              <w:jc w:val="both"/>
              <w:rPr>
                <w:rFonts w:ascii="Times New Roman" w:hAnsi="Times New Roman"/>
                <w:sz w:val="24"/>
                <w:szCs w:val="24"/>
                <w:lang w:val="ru-RU" w:eastAsia="ru-RU"/>
              </w:rPr>
            </w:pP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В Российской Федерации действуют более 300 малых ГЭС общей мощностью около 1 300 МВт.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Экономический гидропотенциал малых ГЭС в первой и второй ценовых зонах объединенной энергетической системы (далее – ОЭС) России составляет 37,5 ГВт. Сегодня малые ГЭС обеспечивают порядка 0,3 процента генерации в стране.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ГЭС различны по конструктивным решениям и техническому уровню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от управляемых вручную до полностью автоматизированных, работающих без дежурного персонала.</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Малые ГЭС обеспечивают энергоснабжение отдельных потребителей, изолированных от энергосистемы, но большая их часть подключена к местным энергосистемам.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К классу малых ГЭС относятся ГЭС мощностью от 50 – 100 кВт (микро-ГЭС) и до 5000 кВт (малая ГЭС).</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Для создания таких мощностей возможны технические решения, принципиально отличные от традиционных, разработанных для более крупных ГЭС, в том числе:</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строительство бесплотинных водозаборов;</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создание водохранилищ, затопление которых не превышает максимально паводочного уровня;</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внерусловое расположение зданий гидроэлектростанций;</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использование энергии естественных перепадов водотока.</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В Республике Татарстан в настоящее время эксплуатируется одна малая ГЭС ООО «УПТЖ для ППД» – Карабашская ГЭС (ПАО «Татнефть») с установленной мощностью 300 кВт. Вырабатываемая электроэнергия малой ГЭС потребляется на нужды двух водоподъемов Карабашских водоочистных сооружений. Данный объект введен в эксплуатацию в 1999 году. В настоящее время прорабатывается вопрос его модернизации. Ожидаемый уровень выработки электроэнергии после замены оборудования малой ГЭС увеличится в среднем с 966 тыс. кВт*ч/год до 2 130 тыс. кВт*ч/год.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В целом на территории Республики Татарстан ввиду малых мощностей створов возможно строительство ГЭС мощностью, не превышающей 5000 кВт.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С учетом существующего в настоящее время размещения объектов генерации электроэнергии и электросетевого хозяйства наиболее перспективным является развитие малой гидроэнергетики в следующих районах Республики Татарстан: Спасский район, Алексеевский район,Верхнеуслонский район, Камско-Устьинский район, Рыбно-Слободский район и других.</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 В рамках выполненного анализа архивных данных по оценке гидроэнергетического потенциала малых и средних рек Республики Татарстан</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АО «ВНИИГ им. Б.Е.Веденеева» было выявлено около 40 перспективных створов с суммарной располагаемой расчетной мощностью ГЭС более 12 200 кВт.</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Наибольшим потенциалом обладают створы на реках Ик (около 2,4 МВт и</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1,5 МВт), Свияга (600 кВт), Шешма (720 кВт и 600 кВт). Помимо этих створов, на указанных реках, а также на реках Степной Зай, Мелля и Иганя были определены каскады малой ГЭС различной мощности от 15 до 500 кВт.</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Ряд створов в диапазоне мощности от 10 до 500 кВт были выявлены на реках Иж, Сюнь, Казанка, Беденьга и других.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Перспективными для энергетического использования являются водохранилища на реках Мелля, Иганя, Беденьга, предназначенные для мелиорации. </w:t>
            </w:r>
          </w:p>
          <w:p w:rsid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При планировании строительства малых ГЭС необходимо проведение дальнейшего анализа и актуализации имеющихся данных по гидроэнергетическому потенциалу водотоков малых и средних рек республики с последующим расчетом основных экономических показателей и экономической эффективности ГЭС.</w:t>
            </w:r>
          </w:p>
          <w:p w:rsidR="00453D32" w:rsidRDefault="00453D32" w:rsidP="00631AA6">
            <w:pPr>
              <w:pStyle w:val="1"/>
              <w:ind w:firstLine="709"/>
              <w:jc w:val="both"/>
              <w:rPr>
                <w:rFonts w:ascii="Times New Roman" w:hAnsi="Times New Roman"/>
                <w:sz w:val="24"/>
                <w:szCs w:val="24"/>
                <w:lang w:val="ru-RU" w:eastAsia="ru-RU"/>
              </w:rPr>
            </w:pPr>
          </w:p>
          <w:p w:rsidR="00631AA6" w:rsidRPr="00D423B2" w:rsidRDefault="00631AA6" w:rsidP="00631AA6">
            <w:pPr>
              <w:pStyle w:val="1"/>
              <w:ind w:firstLine="709"/>
              <w:jc w:val="both"/>
              <w:rPr>
                <w:rFonts w:ascii="Times New Roman" w:hAnsi="Times New Roman"/>
                <w:sz w:val="24"/>
                <w:szCs w:val="24"/>
                <w:lang w:val="ru-RU" w:eastAsia="ru-RU"/>
              </w:rPr>
            </w:pPr>
            <w:r w:rsidRPr="00D423B2">
              <w:rPr>
                <w:rFonts w:ascii="Times New Roman" w:hAnsi="Times New Roman"/>
                <w:sz w:val="24"/>
                <w:szCs w:val="24"/>
                <w:lang w:val="ru-RU" w:eastAsia="ru-RU"/>
              </w:rPr>
              <w:t>4.4.5. Биоэнергетика</w:t>
            </w:r>
          </w:p>
          <w:p w:rsidR="00631AA6" w:rsidRPr="00D423B2" w:rsidRDefault="00631AA6" w:rsidP="00631AA6">
            <w:pPr>
              <w:pStyle w:val="1"/>
              <w:ind w:firstLine="709"/>
              <w:jc w:val="both"/>
              <w:rPr>
                <w:rFonts w:ascii="Times New Roman" w:hAnsi="Times New Roman"/>
                <w:sz w:val="24"/>
                <w:szCs w:val="24"/>
                <w:lang w:val="ru-RU" w:eastAsia="ru-RU"/>
              </w:rPr>
            </w:pPr>
            <w:r w:rsidRPr="00D423B2">
              <w:rPr>
                <w:rFonts w:ascii="Times New Roman" w:hAnsi="Times New Roman"/>
                <w:sz w:val="24"/>
                <w:szCs w:val="24"/>
                <w:lang w:val="ru-RU" w:eastAsia="ru-RU"/>
              </w:rPr>
              <w:t xml:space="preserve">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Биомасса – термин, применяемый для обозначения совокупности живой и неживой, растительной и животной материи на нашей планете. В это понятие также входят органические остатки, отходы: навоз, выбросы мясных и молочных комбинатов, гнилые овощи, остатки сельскохозяйственных культур на полях, органические промышленные и бытовые отходы, отходы лесного хозяйства, скотобоен, пивоварен, зерноперерабатывающих, текстильных, бумажных заводов и т.д.</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Получение энергии из биомассы (древесины, древесных отходов, соломы, навоза, сельскохозяйственных отходов, органической части твердых бытовых отходов) является отраслью, которая может динамично развиваться в Татарстане.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В Татарстане возможно строительство тепловых станций мощностью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0,5 – 10,0 МВт, использующих в качестве топлива отходы лесной и деревообрабатывающей промышленности.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Для использования сухой биомассы наиболее эффективны термохимические технологии (прямое сжигание, газификация, пиролиз и т.п.), для влажной</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биомассы – биохимические технологии переработки с получением биогаза (анаэробное разложение органического сырья) или жидкого биотоплива (процессы сбраживания).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Газификация древесных отходов обеспечивает получение топливного газа, основу которого составляют окись углерода (СО), водород (Н2) и азот (N2) и который может быть использован в качестве газообразного топлива в котельных, газовых турбинах и двигателях внутреннего сгорания.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Значительным преимуществом биогазовых установок является то, что они одновременно играют роль очистных сооружений, снижающих бактериальное и химическое загрязнение почвы, воды и воздуха. По сравнению с малыми ГЭС, ветро- и гелиоэнергоустановками, которые являются пассивно чистыми (используют экологически чистые источники энергии), биогазовые установки – активно чистые, то есть устраняют экологическую опасность продуктов, применяемых в качестве источника первичной энергии.</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На территории муниципальных районов Республики Татарстан с развитым животноводством целесообразна переработка навоза и птичьего помета с производством биогаза и биоудобрений.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В целом из биомассы ежегодно возможно вырабатывать более 50 млн куб. метров биогаза (27 – 37 млн куб. метров метана), 416 тыс. тонн твердого и 303 тыс. куб. метров жидкого биоудобрения.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Переработка навоза и помета решает проблему его складирования, снижает риск загрязнения почв, позволяет обеспечивать газом некоторые предприятия агропромышленного комплекса и производить доступные для местных хозяйств высококачественные биоудобрения.</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В Республике Татарстан также рассматривается выработка энергии из свалочного газа. ПАО «Татнефть» при поддержке Министерства экологии и природных ресурсов Республики Татарстан прорабатывается строительство станции активной дегазации на полигоне твердых бытовых отходов с электростанцией, которая будет производить электроэнергию из свалочного газа.</w:t>
            </w:r>
          </w:p>
          <w:p w:rsidR="00631AA6" w:rsidRPr="00D423B2"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Кроме того, ПАО «Татнефть» в рамках научно-исследовательских и опытно-конструкторских работ ведутся работы по созданию установки по выработке электрической энергии на базе двигателя внутреннего сгорания (ДВС), использующего в качестве топлива древесную щепу, мощностью 30 кВт. </w:t>
            </w:r>
            <w:r w:rsidR="00631AA6" w:rsidRPr="00D423B2">
              <w:rPr>
                <w:rFonts w:ascii="Times New Roman" w:hAnsi="Times New Roman"/>
                <w:sz w:val="24"/>
                <w:szCs w:val="24"/>
                <w:lang w:val="ru-RU" w:eastAsia="ru-RU"/>
              </w:rPr>
              <w:t xml:space="preserve">   </w:t>
            </w:r>
          </w:p>
          <w:p w:rsidR="00631AA6" w:rsidRPr="00D423B2" w:rsidRDefault="00631AA6" w:rsidP="00631AA6">
            <w:pPr>
              <w:pStyle w:val="1"/>
              <w:ind w:firstLine="709"/>
              <w:jc w:val="both"/>
              <w:rPr>
                <w:rFonts w:ascii="Times New Roman" w:hAnsi="Times New Roman"/>
                <w:sz w:val="24"/>
                <w:szCs w:val="24"/>
                <w:lang w:val="ru-RU" w:eastAsia="ru-RU"/>
              </w:rPr>
            </w:pPr>
          </w:p>
          <w:p w:rsidR="00631AA6" w:rsidRPr="00D423B2" w:rsidRDefault="00631AA6" w:rsidP="00631AA6">
            <w:pPr>
              <w:pStyle w:val="1"/>
              <w:ind w:firstLine="709"/>
              <w:jc w:val="both"/>
              <w:rPr>
                <w:rFonts w:ascii="Times New Roman" w:hAnsi="Times New Roman"/>
                <w:sz w:val="24"/>
                <w:szCs w:val="24"/>
                <w:lang w:val="ru-RU" w:eastAsia="ru-RU"/>
              </w:rPr>
            </w:pPr>
            <w:r w:rsidRPr="00D423B2">
              <w:rPr>
                <w:rFonts w:ascii="Times New Roman" w:hAnsi="Times New Roman"/>
                <w:sz w:val="24"/>
                <w:szCs w:val="24"/>
                <w:lang w:val="ru-RU" w:eastAsia="ru-RU"/>
              </w:rPr>
              <w:t>4.4.6. Водородная энергетика</w:t>
            </w:r>
          </w:p>
          <w:p w:rsidR="00631AA6" w:rsidRPr="00D423B2" w:rsidRDefault="00631AA6" w:rsidP="00631AA6">
            <w:pPr>
              <w:pStyle w:val="1"/>
              <w:ind w:firstLine="709"/>
              <w:jc w:val="both"/>
              <w:rPr>
                <w:rFonts w:ascii="Times New Roman" w:hAnsi="Times New Roman"/>
                <w:sz w:val="24"/>
                <w:szCs w:val="24"/>
                <w:lang w:val="ru-RU" w:eastAsia="ru-RU"/>
              </w:rPr>
            </w:pP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Водород (Н2) – наиболее экологически чистое топливо с неограниченными запасами в природе. Водород (Н2) входит в состав 90 процентов компонентов, имеющихся в окружающей среде, и более, чем в треть компонентов на поверхности земли. </w:t>
            </w: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Для эффективного развития водородной энергетики в Татарстане необходимо внедрять технологии химического связывания и выделения водорода, разрабатывать системы хранения водорода для крупнотоннажной транспортировки. </w:t>
            </w: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Накопители энергии на основе использования водорода могут стать эффективным решением в целом для развития ВИЭ. Технология превращения электроэнергии в топливо и возможность транспортировки системы водород-носитель существующими видами позволят развить новые формы производства и использования электроэнергии в Татарстане. При этом целевой финансовый показатель капитальных вложений в систему аккумуляции водорода не </w:t>
            </w: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более 4 000 долларов США за тонну водорода.</w:t>
            </w: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Перспективным является применение водорода на автотранспорте с помощью топливных элементов, особенно с применением протонных обменных мембран (Proton exchange membrane). Первые автомобили с топливными элементами уже продемонстрировали фирмы Toyota, Honda, Volkswagen, BMW, Nissan, Hyundai. </w:t>
            </w: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Подавляющая доля потенциального рынка водорода сориентирована на потребление легковыми автомобилями. При использовании водорода на автомобильном транспорте одни компании будут производить товар (водород) и доводить его до нужной степени очистки (для низкотемпературных топливных ячеек на полимерных электролитах PEFC требуется водород высокой чистоты), другие будут заниматься его транспортировкой на станции, третьи будут отпускать товар конечным потребителям. Наиболее близкая перспектива использования водорода в транспортных средствах связана с использованием полимерных мембран нового поколения типа Hyflon. </w:t>
            </w:r>
          </w:p>
          <w:p w:rsidR="00631AA6" w:rsidRPr="00D423B2"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Актуальны разработка и производство стационарных установок риформинга природного газа (метана), очистки водорода от окиси углерода (CO) и углекислого газа (CO2), получения электроэнергии окислением водорода кислородом из воздуха на твердо-оксидных топливных элементах SOFC. При разработке качественных и надежных систем они будут востребованы в качестве вспомогательных энергетических установок на транспортных средствах.  </w:t>
            </w:r>
          </w:p>
          <w:p w:rsidR="001100F1" w:rsidRDefault="001100F1" w:rsidP="00631AA6">
            <w:pPr>
              <w:pStyle w:val="1"/>
              <w:ind w:firstLine="709"/>
              <w:jc w:val="both"/>
              <w:rPr>
                <w:rFonts w:ascii="Times New Roman" w:hAnsi="Times New Roman"/>
                <w:sz w:val="24"/>
                <w:szCs w:val="24"/>
                <w:lang w:val="ru-RU" w:eastAsia="ru-RU"/>
              </w:rPr>
            </w:pPr>
          </w:p>
          <w:p w:rsidR="00631AA6" w:rsidRPr="00D423B2" w:rsidRDefault="00631AA6" w:rsidP="00631AA6">
            <w:pPr>
              <w:pStyle w:val="1"/>
              <w:ind w:firstLine="709"/>
              <w:jc w:val="both"/>
              <w:rPr>
                <w:rFonts w:ascii="Times New Roman" w:hAnsi="Times New Roman"/>
                <w:sz w:val="24"/>
                <w:szCs w:val="24"/>
                <w:lang w:val="ru-RU" w:eastAsia="ru-RU"/>
              </w:rPr>
            </w:pPr>
            <w:r w:rsidRPr="00D423B2">
              <w:rPr>
                <w:rFonts w:ascii="Times New Roman" w:hAnsi="Times New Roman"/>
                <w:sz w:val="24"/>
                <w:szCs w:val="24"/>
                <w:lang w:val="ru-RU" w:eastAsia="ru-RU"/>
              </w:rPr>
              <w:t>4.4.7. Теплогенерация на основе возобновляемых источников энергии (ВИЭ)</w:t>
            </w:r>
          </w:p>
          <w:p w:rsidR="00631AA6" w:rsidRPr="00D423B2" w:rsidRDefault="00631AA6" w:rsidP="00631AA6">
            <w:pPr>
              <w:pStyle w:val="1"/>
              <w:ind w:firstLine="709"/>
              <w:jc w:val="both"/>
              <w:rPr>
                <w:rFonts w:ascii="Times New Roman" w:hAnsi="Times New Roman"/>
                <w:sz w:val="24"/>
                <w:szCs w:val="24"/>
                <w:lang w:val="ru-RU" w:eastAsia="ru-RU"/>
              </w:rPr>
            </w:pP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Солнечные коллекторы.</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 xml:space="preserve">Солнечные коллекторы являются техническими устройствами, предназначенными для прямого преобразования солнечного излучения в тепловую энергию. </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 xml:space="preserve">Плоские солнечные коллекторы являются простейшим и наиболее дешевым способом использования солнечной энергии. Плоский солнечный коллектор представляет собой теплоизолированный с тыльной стороны и боков ящик, внутри которого помещена тепловоспринимающая металлическая или пластиковая панель, окрашенная для лучшего поглощения солнечного излучения в темный цвет и закрытая сверху светопрозрачным ограждением (один или два слоя стекла или прозрачного стойкого под воздействием ультрафиолета пластика). Панель является теплообменником, по каналам которого прокачивается нагреваемая вода. Вода направляется в теплоизолированный бак гидравлически соединенный с солнечным коллектором. </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Внедрение солнечных коллекторов позволит сократить затраты на строительство и эксплуатацию сетей теплоснабжения.</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Тепловые насосы.</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 xml:space="preserve">Одним из направлений альтернативной энергетики является внедрение тепловых насосов вместо автономных котельных, работающих на твердом, жидком топливе и электроэнергии. Источником низкопотенциальной теплоты для тепловых насосов могут служить грунтовая вода, наружный воздух, тепло грунта, низкопотенциальные вторичные энергоресурсы. </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 xml:space="preserve">В Республике Татарстан с учетом наличия значительного ресурса низкопотенциальной теплоты в отраслях экономики внедрение тепловых насосов является перспективным направлением. </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Одними из основных препятствий на пути внедрения теплонасосной техники являются:</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широкое распространение в Российской Федерации тепловых электрических станций, топливная эффективность которых при выработке электрической энергии не позволяет реализовать высокоэффективную эксплуатацию тепловых насосов с электрическим приводом;</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отсутствие на рынке тепловых насосов с механическим приводом, работающих, например, на газовом топливе;</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 xml:space="preserve">достаточно высокая цена тепловых насосов, обуславливающая большой срок их окупаемости. </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Внедрение тепловых насосов возможно при поддержке государства путем регулирования тарифов и ввода региональными энергосистемами дифференцированной платы за потребленную тепловыми насосами электроэнергию, что может позволить теплонасосной технике прочно занять место электрических и угольных котлов на рынке теплопроизводящего оборудования.</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Накопители энергии.</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Внедрение промышленных накопителей энергии является одним из основных трендов развития энергетики в мире. Основная причина – масштабное развитие ВИЭ и электротранспорта. Накопители энергии при использовании возобновляемых источников энергии способны сглаживать неравномерности выработки электроэнергии, то есть нивелировать основной недостаток ВИЭ – непостоянство выработки электроэнергии, зависящее от метеорологических условий, и разорвать во времени зависимость генерации энергии от ее потребления.  Потенциальной сферой применения накопителей энергии также является сглаживание пиков нагрузки сети.</w:t>
            </w:r>
          </w:p>
          <w:p w:rsidR="00897DE2" w:rsidRPr="00897DE2" w:rsidRDefault="00897DE2" w:rsidP="00897DE2">
            <w:pPr>
              <w:pStyle w:val="1"/>
              <w:ind w:firstLine="709"/>
              <w:jc w:val="both"/>
              <w:rPr>
                <w:rFonts w:ascii="Times New Roman" w:hAnsi="Times New Roman"/>
                <w:sz w:val="24"/>
                <w:szCs w:val="24"/>
                <w:lang w:val="ru-RU" w:eastAsia="ru-RU"/>
              </w:rPr>
            </w:pPr>
            <w:r w:rsidRPr="00897DE2">
              <w:rPr>
                <w:rFonts w:ascii="Times New Roman" w:hAnsi="Times New Roman"/>
                <w:sz w:val="24"/>
                <w:szCs w:val="24"/>
                <w:lang w:val="ru-RU" w:eastAsia="ru-RU"/>
              </w:rPr>
              <w:t>Блок накопителей, запасаясь ночью электроэнергией по низкому тарифу, выдает ее в сеть уже по дневному тарифу, в несколько раз превышающему ночной тариф. Именно возможность быстрого регулирования мощности, способность реализовывать разницу в дневных и ночных тарифах определяют экономическую эффективность накопителей для крупных промышленных потребителей электроэнергии.</w:t>
            </w:r>
          </w:p>
          <w:p w:rsidR="00631AA6" w:rsidRPr="00D423B2" w:rsidRDefault="00897DE2" w:rsidP="00897DE2">
            <w:pPr>
              <w:pStyle w:val="1"/>
              <w:widowControl w:val="0"/>
              <w:ind w:firstLine="709"/>
              <w:jc w:val="both"/>
              <w:rPr>
                <w:rFonts w:ascii="Times New Roman" w:hAnsi="Times New Roman"/>
                <w:sz w:val="28"/>
                <w:szCs w:val="28"/>
                <w:lang w:val="ru-RU" w:eastAsia="ru-RU"/>
              </w:rPr>
            </w:pPr>
            <w:r w:rsidRPr="00897DE2">
              <w:rPr>
                <w:rFonts w:ascii="Times New Roman" w:hAnsi="Times New Roman"/>
                <w:sz w:val="24"/>
                <w:szCs w:val="24"/>
                <w:lang w:val="ru-RU" w:eastAsia="ru-RU"/>
              </w:rPr>
              <w:t>В таблице 19 представлены основные направления использования и потенциальные потребители систем накопления электроэнергии.</w:t>
            </w:r>
          </w:p>
          <w:p w:rsidR="00897DE2" w:rsidRDefault="00897DE2" w:rsidP="00631AA6">
            <w:pPr>
              <w:pStyle w:val="1"/>
              <w:widowControl w:val="0"/>
              <w:ind w:firstLine="709"/>
              <w:jc w:val="right"/>
              <w:rPr>
                <w:rFonts w:ascii="Times New Roman" w:hAnsi="Times New Roman"/>
                <w:sz w:val="24"/>
                <w:szCs w:val="24"/>
                <w:lang w:val="ru-RU" w:eastAsia="ru-RU"/>
              </w:rPr>
            </w:pPr>
          </w:p>
          <w:p w:rsidR="00631AA6" w:rsidRPr="00D423B2" w:rsidRDefault="00897DE2" w:rsidP="00631AA6">
            <w:pPr>
              <w:pStyle w:val="1"/>
              <w:widowControl w:val="0"/>
              <w:ind w:firstLine="709"/>
              <w:jc w:val="right"/>
              <w:rPr>
                <w:rFonts w:ascii="Times New Roman" w:hAnsi="Times New Roman"/>
                <w:sz w:val="24"/>
                <w:szCs w:val="24"/>
                <w:lang w:val="ru-RU" w:eastAsia="ru-RU"/>
              </w:rPr>
            </w:pPr>
            <w:r>
              <w:rPr>
                <w:rFonts w:ascii="Times New Roman" w:hAnsi="Times New Roman"/>
                <w:sz w:val="24"/>
                <w:szCs w:val="24"/>
                <w:lang w:val="ru-RU" w:eastAsia="ru-RU"/>
              </w:rPr>
              <w:t xml:space="preserve">Таблица </w:t>
            </w:r>
            <w:r w:rsidR="00631AA6" w:rsidRPr="00D423B2">
              <w:rPr>
                <w:rFonts w:ascii="Times New Roman" w:hAnsi="Times New Roman"/>
                <w:sz w:val="24"/>
                <w:szCs w:val="24"/>
                <w:lang w:val="ru-RU" w:eastAsia="ru-RU"/>
              </w:rPr>
              <w:t xml:space="preserve">19 </w:t>
            </w:r>
          </w:p>
          <w:p w:rsidR="00631AA6" w:rsidRPr="00D423B2" w:rsidRDefault="00631AA6" w:rsidP="00631AA6">
            <w:pPr>
              <w:pStyle w:val="1"/>
              <w:ind w:firstLine="709"/>
              <w:jc w:val="center"/>
              <w:rPr>
                <w:rFonts w:ascii="Times New Roman" w:hAnsi="Times New Roman"/>
                <w:sz w:val="24"/>
                <w:szCs w:val="24"/>
                <w:lang w:val="ru-RU" w:eastAsia="ru-RU"/>
              </w:rPr>
            </w:pPr>
          </w:p>
          <w:p w:rsidR="00631AA6" w:rsidRPr="00D423B2" w:rsidRDefault="00631AA6" w:rsidP="00631AA6">
            <w:pPr>
              <w:pStyle w:val="1"/>
              <w:ind w:firstLine="709"/>
              <w:jc w:val="center"/>
              <w:rPr>
                <w:rFonts w:ascii="Times New Roman" w:hAnsi="Times New Roman"/>
                <w:sz w:val="24"/>
                <w:szCs w:val="24"/>
                <w:lang w:val="ru-RU" w:eastAsia="ru-RU"/>
              </w:rPr>
            </w:pPr>
            <w:r w:rsidRPr="00D423B2">
              <w:rPr>
                <w:rFonts w:ascii="Times New Roman" w:hAnsi="Times New Roman"/>
                <w:sz w:val="24"/>
                <w:szCs w:val="24"/>
                <w:lang w:val="ru-RU" w:eastAsia="ru-RU"/>
              </w:rPr>
              <w:t xml:space="preserve">Потенциальные области использования и потребители накопителей энергии </w:t>
            </w:r>
          </w:p>
          <w:p w:rsidR="002B3931" w:rsidRPr="00D423B2" w:rsidRDefault="002B3931" w:rsidP="00631AA6">
            <w:pPr>
              <w:pStyle w:val="1"/>
              <w:ind w:firstLine="709"/>
              <w:jc w:val="center"/>
              <w:rPr>
                <w:rFonts w:ascii="Times New Roman" w:hAnsi="Times New Roman"/>
                <w:sz w:val="24"/>
                <w:szCs w:val="24"/>
                <w:lang w:val="ru-RU"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4"/>
              <w:gridCol w:w="2257"/>
              <w:gridCol w:w="1178"/>
            </w:tblGrid>
            <w:tr w:rsidR="000D60F4" w:rsidRPr="00EE54D2" w:rsidTr="000D60F4">
              <w:trPr>
                <w:trHeight w:val="22"/>
              </w:trPr>
              <w:tc>
                <w:tcPr>
                  <w:tcW w:w="1444"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Область применения</w:t>
                  </w:r>
                </w:p>
              </w:tc>
              <w:tc>
                <w:tcPr>
                  <w:tcW w:w="2257"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Применение</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Возможные потребители услуг</w:t>
                  </w:r>
                </w:p>
              </w:tc>
            </w:tr>
            <w:tr w:rsidR="000D60F4" w:rsidRPr="00EE54D2" w:rsidTr="000D60F4">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Замещение инвестиций</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Замещение дорогостоящих инвестиций в сетевом хозяйстве решениями на основе накопителей</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sz w:val="16"/>
                      <w:szCs w:val="16"/>
                    </w:rPr>
                    <w:t>Сетевые компании</w:t>
                  </w:r>
                </w:p>
              </w:tc>
            </w:tr>
            <w:tr w:rsidR="000D60F4" w:rsidRPr="00EE54D2" w:rsidTr="000D60F4">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Регулировка частоты в электросетях</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Регулирование частоты в сетях, повышение качества электроснабжения</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СО ЕЭС, сетевые компании</w:t>
                  </w:r>
                </w:p>
              </w:tc>
            </w:tr>
            <w:tr w:rsidR="000D60F4" w:rsidRPr="00EE54D2" w:rsidTr="000D60F4">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Повышение надежности</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Повышение надежности электроснабжения за счет применения накопителей</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sz w:val="16"/>
                      <w:szCs w:val="16"/>
                    </w:rPr>
                    <w:t>Сетевые компании</w:t>
                  </w:r>
                </w:p>
              </w:tc>
            </w:tr>
            <w:tr w:rsidR="000D60F4" w:rsidRPr="00EE54D2" w:rsidTr="000D60F4">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Оптимизация процесса производства энергии</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Оптимизация загрузки электростанции, экономия топлива</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Генераторы напряжения</w:t>
                  </w:r>
                </w:p>
              </w:tc>
            </w:tr>
            <w:tr w:rsidR="000D60F4" w:rsidRPr="00EE54D2" w:rsidTr="000D60F4">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Интеграция с ВИЭ</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Создание системы накопителей энергии и ветро- или солнечных генераторов</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bdr w:val="none" w:sz="0" w:space="0" w:color="auto" w:frame="1"/>
                    </w:rPr>
                  </w:pPr>
                  <w:r w:rsidRPr="000D60F4">
                    <w:rPr>
                      <w:rFonts w:ascii="Times New Roman" w:hAnsi="Times New Roman" w:cs="Times New Roman"/>
                      <w:sz w:val="16"/>
                      <w:szCs w:val="16"/>
                      <w:bdr w:val="none" w:sz="0" w:space="0" w:color="auto" w:frame="1"/>
                    </w:rPr>
                    <w:t>Генераторы напряжения</w:t>
                  </w:r>
                </w:p>
                <w:p w:rsidR="000D60F4" w:rsidRPr="000D60F4" w:rsidRDefault="000D60F4" w:rsidP="000D60F4">
                  <w:pPr>
                    <w:spacing w:before="60" w:after="60"/>
                    <w:jc w:val="center"/>
                    <w:textAlignment w:val="baseline"/>
                    <w:rPr>
                      <w:rFonts w:ascii="Times New Roman" w:hAnsi="Times New Roman" w:cs="Times New Roman"/>
                      <w:sz w:val="16"/>
                      <w:szCs w:val="16"/>
                    </w:rPr>
                  </w:pPr>
                </w:p>
              </w:tc>
            </w:tr>
            <w:tr w:rsidR="000D60F4" w:rsidRPr="00EE54D2" w:rsidTr="000D60F4">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Снижение стоимости электроэнергии для потребителей, качество энергоснабжения</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Обеспечение надежного энергоснабжения, снижение затрат на электроэнергию за счет суточного колебания стоимости энергии.</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Индустриальные потребители</w:t>
                  </w:r>
                </w:p>
              </w:tc>
            </w:tr>
            <w:tr w:rsidR="000D60F4" w:rsidRPr="00EE54D2" w:rsidTr="000D60F4">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Экономия электроэнергии, снижение затрат</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Внедрение систем рекуперации энергии торможения на объектах ж/д хозяйства</w:t>
                  </w:r>
                </w:p>
              </w:tc>
              <w:tc>
                <w:tcPr>
                  <w:tcW w:w="1178" w:type="dxa"/>
                  <w:shd w:val="clear" w:color="auto" w:fill="auto"/>
                  <w:vAlign w:val="center"/>
                </w:tcPr>
                <w:p w:rsidR="000D60F4" w:rsidRPr="000D60F4" w:rsidRDefault="000D60F4" w:rsidP="000D60F4">
                  <w:pPr>
                    <w:spacing w:before="60" w:after="60"/>
                    <w:jc w:val="center"/>
                    <w:rPr>
                      <w:rFonts w:ascii="Times New Roman" w:hAnsi="Times New Roman" w:cs="Times New Roman"/>
                      <w:sz w:val="16"/>
                      <w:szCs w:val="16"/>
                    </w:rPr>
                  </w:pPr>
                  <w:r w:rsidRPr="000D60F4">
                    <w:rPr>
                      <w:rFonts w:ascii="Times New Roman" w:hAnsi="Times New Roman" w:cs="Times New Roman"/>
                      <w:sz w:val="16"/>
                      <w:szCs w:val="16"/>
                      <w:shd w:val="clear" w:color="auto" w:fill="FFFFFF"/>
                    </w:rPr>
                    <w:t>ОАО «РЖД», Метрополитен</w:t>
                  </w:r>
                </w:p>
              </w:tc>
            </w:tr>
          </w:tbl>
          <w:p w:rsidR="000D60F4" w:rsidRDefault="000D60F4" w:rsidP="00C322A0">
            <w:pPr>
              <w:pStyle w:val="1"/>
              <w:widowControl w:val="0"/>
              <w:jc w:val="both"/>
              <w:rPr>
                <w:rFonts w:ascii="Times New Roman" w:hAnsi="Times New Roman"/>
                <w:sz w:val="24"/>
                <w:szCs w:val="24"/>
                <w:lang w:val="ru-RU" w:eastAsia="ru-RU"/>
              </w:rPr>
            </w:pP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Внедрение промышленных накопителей энергии в Республике Татарстан будет способствовать:</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повышению системной эффективности электроэнергетики и сдерживанию роста цен на электроэнергию за счет применения систем хранения электроэнергии;</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повышению эффективности электроснабжения потребителей с высокими требованиями к доступности, надежности, мобильности и качеству электроэнергии за счет применения систем хранения электроэнергии;</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уменьшению энергетических и экономических потерь за счет снижения перетоков в сети;</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обеспечению повышения надежности электросети;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обеспечению бесперебойного питания особо важных объектов, собственных нужд электростанций и подстанций;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сглаживанию колебаний мощности, стабилизации работы электрических систем;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уменьшению размеров резервных источников питания с длительным сроком работы без перезарядки;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сохранению природного топлива и улучшению экологической обстановки благодаря более широкому внедрению ВИЭ.</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Накопители энергии можно разделить на электрохимические и физические. Первые преобразуют электрическую энергию в химическую энергию веществ, вторые – в механическую энергию.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К электрохимическим накопителям энергии относятся емкостные накопители, молекулярные накопители энергии, индуктивные накопители, аккумуляторные батареи, сверхпроводящие индуктивные накопители. Все типы электрохимических накопителей подключаются к сети через преобразователи (инверторы).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К физическим накопителям электроэнергии в основном относятся два вида комплексов: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кинетические накопители энергии (маховики);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гравитационные накопители энергии.</w:t>
            </w:r>
          </w:p>
          <w:p w:rsidR="00CA189F" w:rsidRDefault="00CA189F" w:rsidP="00CA189F">
            <w:pPr>
              <w:jc w:val="both"/>
              <w:rPr>
                <w:rFonts w:ascii="Times New Roman" w:hAnsi="Times New Roman"/>
                <w:sz w:val="24"/>
                <w:szCs w:val="24"/>
                <w:lang w:eastAsia="ru-RU"/>
              </w:rPr>
            </w:pPr>
            <w:r>
              <w:rPr>
                <w:rFonts w:ascii="Times New Roman" w:hAnsi="Times New Roman"/>
                <w:sz w:val="24"/>
                <w:szCs w:val="24"/>
                <w:lang w:eastAsia="ru-RU"/>
              </w:rPr>
              <w:t xml:space="preserve">           </w:t>
            </w:r>
            <w:r w:rsidR="0045032F" w:rsidRPr="0045032F">
              <w:rPr>
                <w:rFonts w:ascii="Times New Roman" w:hAnsi="Times New Roman"/>
                <w:sz w:val="24"/>
                <w:szCs w:val="24"/>
                <w:lang w:eastAsia="ru-RU"/>
              </w:rPr>
              <w:t>На рисунке 36 представлен научно-технический задел в Российской Федерации по разработке и внедрению различных типов накопителей.</w:t>
            </w:r>
          </w:p>
          <w:p w:rsidR="00CA189F" w:rsidRDefault="00CA189F" w:rsidP="00CA189F">
            <w:pPr>
              <w:jc w:val="both"/>
              <w:rPr>
                <w:rFonts w:ascii="Times New Roman" w:hAnsi="Times New Roman"/>
                <w:sz w:val="24"/>
                <w:szCs w:val="24"/>
                <w:lang w:eastAsia="ru-RU"/>
              </w:rPr>
            </w:pPr>
          </w:p>
          <w:p w:rsidR="00CA189F" w:rsidRDefault="00CA189F" w:rsidP="00CA189F">
            <w:pPr>
              <w:jc w:val="both"/>
              <w:rPr>
                <w:rFonts w:ascii="Times New Roman" w:hAnsi="Times New Roman"/>
                <w:sz w:val="24"/>
                <w:szCs w:val="24"/>
                <w:lang w:eastAsia="ru-RU"/>
              </w:rPr>
            </w:pPr>
          </w:p>
          <w:p w:rsidR="00CA189F" w:rsidRDefault="00CA189F" w:rsidP="00CA189F">
            <w:pPr>
              <w:jc w:val="both"/>
              <w:rPr>
                <w:rFonts w:ascii="Times New Roman" w:hAnsi="Times New Roman"/>
                <w:sz w:val="24"/>
                <w:szCs w:val="24"/>
                <w:lang w:eastAsia="ru-RU"/>
              </w:rPr>
            </w:pPr>
          </w:p>
          <w:p w:rsidR="00CA189F" w:rsidRDefault="00CA189F" w:rsidP="00CA189F">
            <w:pPr>
              <w:jc w:val="both"/>
              <w:rPr>
                <w:rFonts w:ascii="Times New Roman" w:hAnsi="Times New Roman"/>
                <w:sz w:val="24"/>
                <w:szCs w:val="24"/>
                <w:lang w:eastAsia="ru-RU"/>
              </w:rPr>
            </w:pPr>
          </w:p>
          <w:p w:rsidR="00CA189F" w:rsidRDefault="00CA189F" w:rsidP="00CA189F">
            <w:pPr>
              <w:jc w:val="both"/>
              <w:rPr>
                <w:rFonts w:ascii="Times New Roman" w:hAnsi="Times New Roman"/>
                <w:sz w:val="24"/>
                <w:szCs w:val="24"/>
                <w:lang w:eastAsia="ru-RU"/>
              </w:rPr>
            </w:pPr>
          </w:p>
          <w:p w:rsidR="00CA189F" w:rsidRDefault="00CA189F" w:rsidP="00CA189F">
            <w:pPr>
              <w:jc w:val="both"/>
              <w:rPr>
                <w:rFonts w:ascii="Times New Roman" w:hAnsi="Times New Roman"/>
                <w:sz w:val="24"/>
                <w:szCs w:val="24"/>
                <w:lang w:eastAsia="ru-RU"/>
              </w:rPr>
            </w:pPr>
          </w:p>
          <w:p w:rsidR="00CA189F" w:rsidRDefault="00CA189F" w:rsidP="00CA189F">
            <w:pPr>
              <w:jc w:val="both"/>
              <w:rPr>
                <w:rFonts w:ascii="Times New Roman" w:hAnsi="Times New Roman"/>
                <w:sz w:val="24"/>
                <w:szCs w:val="24"/>
                <w:lang w:eastAsia="ru-RU"/>
              </w:rPr>
            </w:pPr>
          </w:p>
          <w:p w:rsidR="00631AA6" w:rsidRPr="00D423B2" w:rsidRDefault="001C74E7" w:rsidP="0045032F">
            <w:pPr>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5FA6FA2D" wp14:editId="23D8858A">
                  <wp:extent cx="2562225" cy="1669562"/>
                  <wp:effectExtent l="0" t="0" r="0" b="698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83072" cy="1683146"/>
                          </a:xfrm>
                          <a:prstGeom prst="rect">
                            <a:avLst/>
                          </a:prstGeom>
                          <a:noFill/>
                        </pic:spPr>
                      </pic:pic>
                    </a:graphicData>
                  </a:graphic>
                </wp:inline>
              </w:drawing>
            </w:r>
          </w:p>
          <w:p w:rsidR="006A645C" w:rsidRPr="006A645C" w:rsidRDefault="006A645C" w:rsidP="006A645C">
            <w:pPr>
              <w:jc w:val="center"/>
              <w:rPr>
                <w:rFonts w:ascii="Times New Roman" w:eastAsia="Times New Roman" w:hAnsi="Times New Roman" w:cs="Times New Roman"/>
                <w:sz w:val="16"/>
                <w:szCs w:val="16"/>
                <w:lang w:eastAsia="ru-RU"/>
              </w:rPr>
            </w:pPr>
            <w:r w:rsidRPr="006A645C">
              <w:rPr>
                <w:rFonts w:ascii="Times New Roman" w:eastAsia="Times New Roman" w:hAnsi="Times New Roman" w:cs="Times New Roman"/>
                <w:sz w:val="16"/>
                <w:szCs w:val="16"/>
                <w:lang w:eastAsia="ru-RU"/>
              </w:rPr>
              <w:t xml:space="preserve">Рис. 36.  Научно-технический задел в Российской Федерации </w:t>
            </w:r>
            <w:r w:rsidRPr="006A645C">
              <w:rPr>
                <w:rFonts w:ascii="Times New Roman" w:eastAsia="Times New Roman" w:hAnsi="Times New Roman" w:cs="Times New Roman"/>
                <w:sz w:val="16"/>
                <w:szCs w:val="16"/>
                <w:lang w:eastAsia="ru-RU"/>
              </w:rPr>
              <w:br/>
              <w:t>по разработке и внедрению различных типов накопителей</w:t>
            </w:r>
          </w:p>
          <w:p w:rsidR="00137E5C" w:rsidRPr="00D423B2" w:rsidRDefault="00137E5C" w:rsidP="00116113">
            <w:pPr>
              <w:rPr>
                <w:rFonts w:ascii="Times New Roman" w:eastAsia="Times New Roman" w:hAnsi="Times New Roman" w:cs="Times New Roman"/>
                <w:sz w:val="16"/>
                <w:szCs w:val="16"/>
                <w:lang w:eastAsia="ru-RU"/>
              </w:rPr>
            </w:pP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Текущие возможности России в области накопления – чуть больше 2 ГВт, а всего мира – 175,8 ГВт. Почти весь этот объем приходится на гидроаккумулирующие электростанции (ГАЭС). Самая большая в Российской Федерации Загорская ГАЭС имеет мощность 1,2 ГВт. Такие накопители превращают электричество в потенциальную энергию воды и вырабатывают его обратно с потерями лишь 25 процентов. Однако их недостаток вполне очевиден: водохранилища требуют сложного рельефа с большим перепадом высот и обширной площадью.</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 xml:space="preserve">Наиболее перспективными для внедрения в Республике Татарстан являются накопители на основе литий-ионных батарей и различных конструкций гравитационных накопителей. Для широкого внедрения в Республике Татарстан систем промышленного накопления энергии необходима разработка и внедрение следующих технологий: </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система управления распределенными накопителями электрической энергии для целей управления нагрузкой;</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 xml:space="preserve">долговечный накопитель электроэнергии с низкой стоимостью энергоемкости: мощность 10 – 100 кВт, энергоемкость не менее 40 – 800 кВт∙ч, КПД не менее </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 xml:space="preserve">95 процентов); ресурс – не менее 3 500 циклов (при разрядке на 70 процентов за цикл), срок службы – не менее 10 лет; стоимость энергоемкости не </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 xml:space="preserve">более 300 долларов США за кВтч. </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накопитель электроэнергии для локального регулирования сетевых параметров: мощность не менее 10 кВт; время зарядки/разрядки не более/не менее</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 xml:space="preserve">5 минут; скорость набора мощности от нулевой до номинальной не более 50 м/с; КПД не менее 98 процентов; ресурс не менее 1 млн циклов; стоимость мощности не более 600 долларов США за киловатт; </w:t>
            </w:r>
          </w:p>
          <w:p w:rsidR="00137E5C" w:rsidRPr="00D423B2"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система управления агрегированными распределенными накопителями электроэнергии, в том числе электромобилями: точность определения доступной мощности на загрузку/разгрузку 2 процента от совокупной мощности агрегированных накопителей, глубина прогноза доступной мощности и энергоемкости агрегированных накопителей не менее 1 часа, достоверность прогноза доступной мощности и энергоемкости агрегированных накопителей не менее 90 процентов, возможность управления не менее чем 100 тыс. единиц агрегированного оборудования.</w:t>
            </w:r>
            <w:r w:rsidR="00137E5C" w:rsidRPr="00D423B2">
              <w:rPr>
                <w:rFonts w:ascii="Times New Roman" w:eastAsia="Times New Roman" w:hAnsi="Times New Roman" w:cs="Times New Roman"/>
                <w:sz w:val="24"/>
                <w:szCs w:val="24"/>
                <w:lang w:eastAsia="ru-RU"/>
              </w:rPr>
              <w:t xml:space="preserve"> </w:t>
            </w:r>
          </w:p>
          <w:p w:rsidR="00137E5C" w:rsidRDefault="00137E5C" w:rsidP="00137E5C">
            <w:pPr>
              <w:widowControl w:val="0"/>
              <w:ind w:firstLine="709"/>
              <w:jc w:val="both"/>
              <w:rPr>
                <w:rFonts w:ascii="Calibri" w:eastAsia="Times New Roman" w:hAnsi="Calibri" w:cs="Calibri"/>
                <w:sz w:val="24"/>
                <w:szCs w:val="24"/>
                <w:lang w:eastAsia="ru-RU"/>
              </w:rPr>
            </w:pPr>
          </w:p>
          <w:p w:rsidR="001E5FD5" w:rsidRPr="00D423B2" w:rsidRDefault="001E5FD5" w:rsidP="00137E5C">
            <w:pPr>
              <w:widowControl w:val="0"/>
              <w:ind w:firstLine="709"/>
              <w:jc w:val="both"/>
              <w:rPr>
                <w:rFonts w:ascii="Calibri" w:eastAsia="Times New Roman" w:hAnsi="Calibri" w:cs="Calibri"/>
                <w:sz w:val="24"/>
                <w:szCs w:val="24"/>
                <w:lang w:eastAsia="ru-RU"/>
              </w:rPr>
            </w:pPr>
          </w:p>
          <w:p w:rsidR="00137E5C" w:rsidRPr="00D423B2" w:rsidRDefault="005F6029" w:rsidP="00A052B4">
            <w:pPr>
              <w:widowControl w:val="0"/>
              <w:autoSpaceDE w:val="0"/>
              <w:autoSpaceDN w:val="0"/>
              <w:jc w:val="center"/>
              <w:outlineLvl w:val="1"/>
              <w:rPr>
                <w:rFonts w:ascii="Times New Roman" w:eastAsia="Times New Roman" w:hAnsi="Times New Roman" w:cs="Times New Roman"/>
                <w:b/>
                <w:sz w:val="24"/>
                <w:szCs w:val="24"/>
                <w:lang w:eastAsia="ru-RU"/>
              </w:rPr>
            </w:pPr>
            <w:r w:rsidRPr="005F6029">
              <w:rPr>
                <w:rFonts w:ascii="Times New Roman" w:eastAsia="Times New Roman" w:hAnsi="Times New Roman" w:cs="Times New Roman"/>
                <w:b/>
                <w:sz w:val="24"/>
                <w:szCs w:val="24"/>
                <w:lang w:eastAsia="ru-RU"/>
              </w:rPr>
              <w:t>5. Ожидаемые результаты и способ реализации Стратегии</w:t>
            </w:r>
          </w:p>
          <w:p w:rsidR="001C3F51" w:rsidRDefault="001C3F51" w:rsidP="00137E5C">
            <w:pPr>
              <w:autoSpaceDE w:val="0"/>
              <w:autoSpaceDN w:val="0"/>
              <w:adjustRightInd w:val="0"/>
              <w:ind w:firstLine="709"/>
              <w:jc w:val="both"/>
              <w:rPr>
                <w:rFonts w:ascii="Times New Roman" w:eastAsia="Times New Roman" w:hAnsi="Times New Roman" w:cs="Times New Roman"/>
                <w:sz w:val="24"/>
                <w:szCs w:val="24"/>
                <w:lang w:eastAsia="ru-RU"/>
              </w:rPr>
            </w:pP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При разработке целевых индикаторов развития отраслей топливно-энергетического комплекса Республики Татарстан учитывались стратегические приоритеты, определенные как на уровне Российской Федерации, так и на уровне Республики Татарстан:</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обеспечение топливно-энергетическим комплексом Республики Татарстан потребностей экономики и населения республики в энергоресурсах и углеводородном сырье;</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глубокая переработка углеводородного сырья, внедрение современных технологий добычи и транспортировки;</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обеспечение кластерного развития промышленности на базе крупнейших предприятий топливно-энергетического комплекса;</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сохранение позиции Республики Татарстан в качестве одного из основных нефтедобывающих регионов Российской Федерации в долгосрочной перспективе.</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Целевые индикаторы развития топливно-энергетического комплекса Республики Татарстан в отраслевом аспекте более полно представлены в соответствующих разделах настоящей Стратегии.</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Основные ожидаемые результаты реализации в Республике Татарстан настоящей Стратегии:</w:t>
            </w:r>
          </w:p>
          <w:p w:rsid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1E5FD5" w:rsidRDefault="001E5FD5"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1E5FD5" w:rsidRPr="00A052B4" w:rsidRDefault="001E5FD5"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A052B4" w:rsidRPr="00A052B4" w:rsidRDefault="00A052B4" w:rsidP="00A052B4">
            <w:pPr>
              <w:autoSpaceDE w:val="0"/>
              <w:autoSpaceDN w:val="0"/>
              <w:adjustRightInd w:val="0"/>
              <w:ind w:firstLine="709"/>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b/>
                <w:color w:val="000000"/>
                <w:sz w:val="24"/>
                <w:szCs w:val="24"/>
                <w:lang w:eastAsia="ru-RU"/>
              </w:rPr>
              <w:t>Нефтедобыча:</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sz w:val="24"/>
                <w:szCs w:val="24"/>
                <w:lang w:eastAsia="ru-RU"/>
              </w:rPr>
              <w:t>Объем добычи нефти с СВН (р</w:t>
            </w:r>
            <w:r w:rsidRPr="00A052B4">
              <w:rPr>
                <w:rFonts w:ascii="Times New Roman" w:eastAsia="Times New Roman" w:hAnsi="Times New Roman" w:cs="Times New Roman"/>
                <w:color w:val="000000"/>
                <w:sz w:val="24"/>
                <w:szCs w:val="24"/>
                <w:lang w:eastAsia="ru-RU"/>
              </w:rPr>
              <w:t>ост</w:t>
            </w:r>
            <w:r w:rsidRPr="00A052B4">
              <w:rPr>
                <w:rFonts w:ascii="Times New Roman" w:eastAsia="Times New Roman" w:hAnsi="Times New Roman" w:cs="Times New Roman"/>
                <w:sz w:val="24"/>
                <w:szCs w:val="24"/>
                <w:lang w:eastAsia="ru-RU"/>
              </w:rPr>
              <w:t xml:space="preserve"> к 2030 году по сравнению с 2018 годом на 8%):</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2020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39 300 тыс. тонн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2025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42 100 тыс. тонн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color w:val="000000"/>
                <w:sz w:val="24"/>
                <w:szCs w:val="24"/>
                <w:lang w:eastAsia="ru-RU"/>
              </w:rPr>
              <w:t xml:space="preserve">в 2030 году – 39 328 </w:t>
            </w:r>
            <w:r w:rsidRPr="00A052B4">
              <w:rPr>
                <w:rFonts w:ascii="Times New Roman" w:eastAsia="Times New Roman" w:hAnsi="Times New Roman" w:cs="Times New Roman"/>
                <w:sz w:val="24"/>
                <w:szCs w:val="24"/>
                <w:lang w:eastAsia="ru-RU"/>
              </w:rPr>
              <w:t>тыс. тонн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Объем эксплуатационного бурения:</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2018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910,4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2020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1 744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2025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1 551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2030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864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Объем поисково-разведочного бурения:</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2018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30,1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2020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25,9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2025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24,4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2030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18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A052B4" w:rsidRPr="00A052B4" w:rsidRDefault="00A052B4" w:rsidP="00A052B4">
            <w:pPr>
              <w:autoSpaceDE w:val="0"/>
              <w:autoSpaceDN w:val="0"/>
              <w:adjustRightInd w:val="0"/>
              <w:ind w:left="7" w:firstLine="702"/>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b/>
                <w:color w:val="000000"/>
                <w:sz w:val="24"/>
                <w:szCs w:val="24"/>
                <w:lang w:eastAsia="ru-RU"/>
              </w:rPr>
              <w:t>Нефтепереработка:</w:t>
            </w:r>
          </w:p>
          <w:p w:rsidR="00A052B4" w:rsidRPr="00A052B4" w:rsidRDefault="00A052B4" w:rsidP="00A052B4">
            <w:pPr>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доведение глубины переработки нефти к 2020 году до показателя более</w:t>
            </w:r>
            <w:r w:rsidRPr="00A052B4">
              <w:rPr>
                <w:rFonts w:ascii="Times New Roman" w:eastAsia="Times New Roman" w:hAnsi="Times New Roman" w:cs="Times New Roman"/>
                <w:sz w:val="24"/>
                <w:szCs w:val="24"/>
                <w:lang w:eastAsia="ru-RU"/>
              </w:rPr>
              <w:br/>
              <w:t>95 процентов;</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увеличение объема перерабатываемой нефти к 2030 году до 24 млн тонн. </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A052B4" w:rsidRPr="00A052B4" w:rsidRDefault="00A052B4" w:rsidP="00A052B4">
            <w:pPr>
              <w:autoSpaceDE w:val="0"/>
              <w:autoSpaceDN w:val="0"/>
              <w:adjustRightInd w:val="0"/>
              <w:ind w:left="7" w:firstLine="702"/>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b/>
                <w:color w:val="000000"/>
                <w:sz w:val="24"/>
                <w:szCs w:val="24"/>
                <w:lang w:eastAsia="ru-RU"/>
              </w:rPr>
              <w:t>Газовая отрасль:</w:t>
            </w:r>
          </w:p>
          <w:p w:rsidR="00A052B4" w:rsidRPr="00A052B4" w:rsidRDefault="00A052B4" w:rsidP="00A052B4">
            <w:pPr>
              <w:autoSpaceDE w:val="0"/>
              <w:autoSpaceDN w:val="0"/>
              <w:adjustRightInd w:val="0"/>
              <w:ind w:left="7" w:firstLine="702"/>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Объем потребления природного газа (рост к 2030 году по сравнению</w:t>
            </w:r>
            <w:r w:rsidRPr="00A052B4">
              <w:rPr>
                <w:rFonts w:ascii="Times New Roman" w:eastAsia="Times New Roman" w:hAnsi="Times New Roman" w:cs="Times New Roman"/>
                <w:color w:val="000000"/>
                <w:sz w:val="24"/>
                <w:szCs w:val="24"/>
                <w:lang w:eastAsia="ru-RU"/>
              </w:rPr>
              <w:br/>
              <w:t>с 2017 годом на 49,4 процента):</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2018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18,083 млрд куб. метров;</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2020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19,500 млрд куб. метров (с учетом потребности ПАО «Татнефть»);</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2025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21,063 млрд куб. метров;</w:t>
            </w:r>
          </w:p>
          <w:p w:rsidR="00A052B4" w:rsidRPr="00A052B4" w:rsidRDefault="00A052B4" w:rsidP="00A052B4">
            <w:pPr>
              <w:autoSpaceDE w:val="0"/>
              <w:autoSpaceDN w:val="0"/>
              <w:adjustRightInd w:val="0"/>
              <w:ind w:left="7"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2030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22,602 млрд куб. метров.</w:t>
            </w:r>
          </w:p>
          <w:p w:rsidR="00A052B4" w:rsidRPr="00A052B4" w:rsidRDefault="00A052B4" w:rsidP="00A052B4">
            <w:pPr>
              <w:autoSpaceDE w:val="0"/>
              <w:autoSpaceDN w:val="0"/>
              <w:adjustRightInd w:val="0"/>
              <w:ind w:left="7"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В том числе объем потребления природного газа в качестве газомоторного топлива (компримированный и сжиженный природный газ):</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2018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35,750 млн куб. метров;</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2020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70,755 млн куб. метров;</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2025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285,000 млн куб. метров;</w:t>
            </w:r>
          </w:p>
          <w:p w:rsidR="00A052B4" w:rsidRPr="00A052B4" w:rsidRDefault="00A052B4" w:rsidP="00A052B4">
            <w:pPr>
              <w:autoSpaceDE w:val="0"/>
              <w:autoSpaceDN w:val="0"/>
              <w:adjustRightInd w:val="0"/>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2030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335,000 млн куб. метров.</w:t>
            </w:r>
          </w:p>
          <w:p w:rsidR="00A052B4" w:rsidRPr="00A052B4" w:rsidRDefault="00A052B4" w:rsidP="00A052B4">
            <w:pPr>
              <w:autoSpaceDE w:val="0"/>
              <w:autoSpaceDN w:val="0"/>
              <w:adjustRightInd w:val="0"/>
              <w:ind w:firstLine="702"/>
              <w:jc w:val="both"/>
              <w:rPr>
                <w:rFonts w:ascii="Times New Roman" w:eastAsia="Calibri" w:hAnsi="Times New Roman" w:cs="Times New Roman"/>
                <w:sz w:val="24"/>
                <w:szCs w:val="24"/>
                <w:lang w:eastAsia="ru-RU"/>
              </w:rPr>
            </w:pPr>
          </w:p>
          <w:p w:rsidR="00A052B4" w:rsidRPr="00A052B4" w:rsidRDefault="00A052B4" w:rsidP="00A052B4">
            <w:pPr>
              <w:autoSpaceDE w:val="0"/>
              <w:autoSpaceDN w:val="0"/>
              <w:adjustRightInd w:val="0"/>
              <w:ind w:firstLine="709"/>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b/>
                <w:color w:val="000000"/>
                <w:sz w:val="24"/>
                <w:szCs w:val="24"/>
                <w:lang w:eastAsia="ru-RU"/>
              </w:rPr>
              <w:t>Электроэнергетика:</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 xml:space="preserve">Объем производства электрической энергии (рост к 2030 году по сравнению </w:t>
            </w:r>
            <w:r w:rsidRPr="00A052B4">
              <w:rPr>
                <w:rFonts w:ascii="Times New Roman" w:eastAsia="Times New Roman" w:hAnsi="Times New Roman" w:cs="Times New Roman"/>
                <w:color w:val="000000"/>
                <w:sz w:val="24"/>
                <w:szCs w:val="24"/>
                <w:lang w:eastAsia="ru-RU"/>
              </w:rPr>
              <w:br/>
              <w:t>с 2015 годом на 51,3 процента):</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2020 году – 28 001 млн кВт*ч;</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2025 году – 29 261 млн кВт*ч;</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2030 году – 30 578 млн кВт*ч.</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p>
          <w:p w:rsidR="00A052B4" w:rsidRPr="00A052B4" w:rsidRDefault="00A052B4" w:rsidP="00A052B4">
            <w:pPr>
              <w:autoSpaceDE w:val="0"/>
              <w:autoSpaceDN w:val="0"/>
              <w:adjustRightInd w:val="0"/>
              <w:ind w:firstLine="709"/>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b/>
                <w:color w:val="000000"/>
                <w:sz w:val="24"/>
                <w:szCs w:val="24"/>
                <w:lang w:eastAsia="ru-RU"/>
              </w:rPr>
              <w:t>Производство тепловой энергии:</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Объем производства тепловой энергии (рост к 2030 году по сравнению</w:t>
            </w:r>
            <w:r w:rsidRPr="00A052B4">
              <w:rPr>
                <w:rFonts w:ascii="Times New Roman" w:eastAsia="Times New Roman" w:hAnsi="Times New Roman" w:cs="Times New Roman"/>
                <w:color w:val="000000"/>
                <w:sz w:val="24"/>
                <w:szCs w:val="24"/>
                <w:lang w:eastAsia="ru-RU"/>
              </w:rPr>
              <w:br/>
              <w:t xml:space="preserve">с 2015 годом на 11,2 процента): </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2020 году – 49,8 млн Гкал;</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2025 году – 50,8 млн Гкал;</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2030 году – 51,8 млн Гкал.</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b/>
                <w:color w:val="000000"/>
                <w:sz w:val="24"/>
                <w:szCs w:val="24"/>
                <w:lang w:eastAsia="ru-RU"/>
              </w:rPr>
              <w:t xml:space="preserve">Снижение энергоемкости ВРП в сопоставимых ценах 2007 года </w:t>
            </w:r>
            <w:r w:rsidRPr="00A052B4">
              <w:rPr>
                <w:rFonts w:ascii="Times New Roman" w:eastAsia="Times New Roman" w:hAnsi="Times New Roman" w:cs="Times New Roman"/>
                <w:b/>
                <w:color w:val="000000"/>
                <w:sz w:val="24"/>
                <w:szCs w:val="24"/>
                <w:lang w:eastAsia="ru-RU"/>
              </w:rPr>
              <w:br/>
              <w:t>(к уровню 2007 года):</w:t>
            </w:r>
            <w:r w:rsidRPr="00A052B4">
              <w:rPr>
                <w:rFonts w:ascii="Times New Roman" w:eastAsia="Times New Roman" w:hAnsi="Times New Roman" w:cs="Times New Roman"/>
                <w:color w:val="000000"/>
                <w:sz w:val="24"/>
                <w:szCs w:val="24"/>
                <w:lang w:eastAsia="ru-RU"/>
              </w:rPr>
              <w:t xml:space="preserve"> </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 xml:space="preserve">к 2025 году – на 25,0 процентов; </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color w:val="000000"/>
                <w:sz w:val="24"/>
                <w:szCs w:val="24"/>
                <w:lang w:eastAsia="ru-RU"/>
              </w:rPr>
              <w:t>к 2030 году – на 26,1 процента.</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137E5C" w:rsidRPr="00D423B2" w:rsidRDefault="00A052B4" w:rsidP="001E5FD5">
            <w:pPr>
              <w:autoSpaceDE w:val="0"/>
              <w:autoSpaceDN w:val="0"/>
              <w:adjustRightInd w:val="0"/>
              <w:ind w:firstLine="709"/>
              <w:jc w:val="both"/>
              <w:rPr>
                <w:rFonts w:ascii="Times New Roman" w:eastAsia="Times New Roman" w:hAnsi="Times New Roman" w:cs="Times New Roman"/>
                <w:sz w:val="16"/>
                <w:szCs w:val="16"/>
                <w:lang w:eastAsia="ru-RU"/>
              </w:rPr>
            </w:pPr>
            <w:r w:rsidRPr="00A052B4">
              <w:rPr>
                <w:rFonts w:ascii="Times New Roman" w:eastAsia="Times New Roman" w:hAnsi="Times New Roman" w:cs="Times New Roman"/>
                <w:sz w:val="24"/>
                <w:szCs w:val="24"/>
                <w:lang w:eastAsia="ru-RU"/>
              </w:rPr>
              <w:t xml:space="preserve">Настоящая Стратегия является основой для разработки и утверждения </w:t>
            </w:r>
            <w:r w:rsidRPr="00A052B4">
              <w:rPr>
                <w:rFonts w:ascii="Times New Roman" w:eastAsia="Times New Roman" w:hAnsi="Times New Roman" w:cs="Times New Roman"/>
                <w:sz w:val="24"/>
                <w:szCs w:val="24"/>
                <w:lang w:eastAsia="ru-RU"/>
              </w:rPr>
              <w:br/>
              <w:t>в 2020 – 2025 годах предприятиями топливно-энергетического комплекса Республики Татарстан корпоративных стратегий развития до 2030 года.».</w:t>
            </w:r>
          </w:p>
        </w:tc>
        <w:tc>
          <w:tcPr>
            <w:tcW w:w="5245" w:type="dxa"/>
          </w:tcPr>
          <w:p w:rsidR="00AB5E42" w:rsidRPr="00D423B2" w:rsidRDefault="00AB5E42" w:rsidP="001428C4">
            <w:pPr>
              <w:pStyle w:val="ConsPlusNormal"/>
              <w:ind w:firstLine="540"/>
              <w:jc w:val="right"/>
              <w:rPr>
                <w:rFonts w:ascii="Times New Roman" w:hAnsi="Times New Roman" w:cs="Times New Roman"/>
                <w:b/>
                <w:szCs w:val="22"/>
              </w:rPr>
            </w:pPr>
          </w:p>
          <w:p w:rsidR="001428C4" w:rsidRPr="00D423B2" w:rsidRDefault="001428C4" w:rsidP="001428C4">
            <w:pPr>
              <w:pStyle w:val="ConsPlusNormal"/>
              <w:ind w:firstLine="540"/>
              <w:jc w:val="right"/>
              <w:rPr>
                <w:rFonts w:ascii="Times New Roman" w:hAnsi="Times New Roman" w:cs="Times New Roman"/>
                <w:b/>
                <w:szCs w:val="22"/>
              </w:rPr>
            </w:pPr>
            <w:r w:rsidRPr="00D423B2">
              <w:rPr>
                <w:rFonts w:ascii="Times New Roman" w:hAnsi="Times New Roman" w:cs="Times New Roman"/>
                <w:b/>
                <w:szCs w:val="22"/>
              </w:rPr>
              <w:t>«Приложение 1</w:t>
            </w:r>
          </w:p>
          <w:p w:rsidR="001428C4" w:rsidRPr="00D423B2" w:rsidRDefault="001428C4" w:rsidP="001428C4">
            <w:pPr>
              <w:pStyle w:val="ConsPlusNormal"/>
              <w:ind w:firstLine="540"/>
              <w:jc w:val="right"/>
              <w:rPr>
                <w:rFonts w:ascii="Times New Roman" w:hAnsi="Times New Roman" w:cs="Times New Roman"/>
                <w:b/>
                <w:szCs w:val="22"/>
              </w:rPr>
            </w:pPr>
            <w:r w:rsidRPr="00D423B2">
              <w:rPr>
                <w:rFonts w:ascii="Times New Roman" w:hAnsi="Times New Roman" w:cs="Times New Roman"/>
                <w:b/>
                <w:szCs w:val="22"/>
              </w:rPr>
              <w:t>к Закону Республики Татарстан</w:t>
            </w:r>
          </w:p>
          <w:p w:rsidR="001428C4" w:rsidRPr="00D423B2" w:rsidRDefault="001428C4" w:rsidP="001428C4">
            <w:pPr>
              <w:pStyle w:val="ConsPlusNormal"/>
              <w:ind w:firstLine="540"/>
              <w:jc w:val="right"/>
              <w:rPr>
                <w:rFonts w:ascii="Times New Roman" w:hAnsi="Times New Roman" w:cs="Times New Roman"/>
                <w:b/>
                <w:szCs w:val="22"/>
              </w:rPr>
            </w:pPr>
            <w:r w:rsidRPr="00D423B2">
              <w:rPr>
                <w:rFonts w:ascii="Times New Roman" w:hAnsi="Times New Roman" w:cs="Times New Roman"/>
                <w:b/>
                <w:szCs w:val="22"/>
              </w:rPr>
              <w:t>«Об утверждении Стратегии развития</w:t>
            </w:r>
          </w:p>
          <w:p w:rsidR="001428C4" w:rsidRPr="00D423B2" w:rsidRDefault="001428C4" w:rsidP="001428C4">
            <w:pPr>
              <w:pStyle w:val="ConsPlusNormal"/>
              <w:ind w:firstLine="540"/>
              <w:jc w:val="right"/>
              <w:rPr>
                <w:rFonts w:ascii="Times New Roman" w:hAnsi="Times New Roman" w:cs="Times New Roman"/>
                <w:b/>
                <w:szCs w:val="22"/>
              </w:rPr>
            </w:pPr>
            <w:r w:rsidRPr="00D423B2">
              <w:rPr>
                <w:rFonts w:ascii="Times New Roman" w:hAnsi="Times New Roman" w:cs="Times New Roman"/>
                <w:b/>
                <w:szCs w:val="22"/>
              </w:rPr>
              <w:t>топливно-энергетического комплекса</w:t>
            </w:r>
          </w:p>
          <w:p w:rsidR="001428C4" w:rsidRPr="00D423B2" w:rsidRDefault="001428C4" w:rsidP="001428C4">
            <w:pPr>
              <w:jc w:val="right"/>
              <w:rPr>
                <w:rFonts w:ascii="Times New Roman" w:hAnsi="Times New Roman" w:cs="Times New Roman"/>
                <w:b/>
              </w:rPr>
            </w:pPr>
            <w:r w:rsidRPr="00D423B2">
              <w:rPr>
                <w:rFonts w:ascii="Times New Roman" w:hAnsi="Times New Roman" w:cs="Times New Roman"/>
                <w:b/>
              </w:rPr>
              <w:t>Республики Татарстан на период до 2030 года»</w:t>
            </w:r>
          </w:p>
          <w:p w:rsidR="001428C4" w:rsidRPr="00D423B2" w:rsidRDefault="001428C4" w:rsidP="001428C4">
            <w:pPr>
              <w:jc w:val="right"/>
              <w:rPr>
                <w:rFonts w:ascii="Times New Roman" w:hAnsi="Times New Roman" w:cs="Times New Roman"/>
              </w:rPr>
            </w:pPr>
          </w:p>
          <w:p w:rsidR="001428C4" w:rsidRPr="00D423B2" w:rsidRDefault="001428C4" w:rsidP="001428C4">
            <w:pPr>
              <w:widowControl w:val="0"/>
              <w:autoSpaceDE w:val="0"/>
              <w:autoSpaceDN w:val="0"/>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Стратегия</w:t>
            </w:r>
          </w:p>
          <w:p w:rsidR="001428C4" w:rsidRPr="00D423B2" w:rsidRDefault="001428C4" w:rsidP="001428C4">
            <w:pPr>
              <w:widowControl w:val="0"/>
              <w:autoSpaceDE w:val="0"/>
              <w:autoSpaceDN w:val="0"/>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развития топливно-энергетического комплекса</w:t>
            </w:r>
          </w:p>
          <w:p w:rsidR="001428C4" w:rsidRPr="00D423B2" w:rsidRDefault="001428C4" w:rsidP="001428C4">
            <w:pPr>
              <w:widowControl w:val="0"/>
              <w:autoSpaceDE w:val="0"/>
              <w:autoSpaceDN w:val="0"/>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Республики Татарстан на период до 2030 года</w:t>
            </w:r>
          </w:p>
          <w:p w:rsidR="001428C4" w:rsidRPr="00D423B2" w:rsidRDefault="001428C4" w:rsidP="001428C4">
            <w:pPr>
              <w:autoSpaceDE w:val="0"/>
              <w:autoSpaceDN w:val="0"/>
              <w:adjustRightInd w:val="0"/>
              <w:jc w:val="both"/>
              <w:rPr>
                <w:rFonts w:ascii="Times New Roman" w:eastAsia="Times New Roman" w:hAnsi="Times New Roman" w:cs="Times New Roman"/>
                <w:sz w:val="20"/>
                <w:szCs w:val="28"/>
                <w:lang w:eastAsia="ru-RU"/>
              </w:rPr>
            </w:pPr>
          </w:p>
          <w:p w:rsidR="001428C4" w:rsidRPr="00D423B2" w:rsidRDefault="004B338D" w:rsidP="001428C4">
            <w:pPr>
              <w:autoSpaceDE w:val="0"/>
              <w:autoSpaceDN w:val="0"/>
              <w:adjustRightInd w:val="0"/>
              <w:jc w:val="center"/>
              <w:outlineLvl w:val="1"/>
              <w:rPr>
                <w:rFonts w:ascii="Times New Roman" w:eastAsia="Times New Roman" w:hAnsi="Times New Roman" w:cs="Times New Roman"/>
                <w:b/>
                <w:sz w:val="24"/>
                <w:szCs w:val="24"/>
                <w:lang w:eastAsia="ru-RU"/>
              </w:rPr>
            </w:pPr>
            <w:r w:rsidRPr="00B675F4">
              <w:rPr>
                <w:rFonts w:ascii="Times New Roman" w:eastAsia="Times New Roman" w:hAnsi="Times New Roman" w:cs="Times New Roman"/>
                <w:b/>
                <w:sz w:val="24"/>
                <w:szCs w:val="24"/>
                <w:lang w:eastAsia="ru-RU"/>
              </w:rPr>
              <w:t>1</w:t>
            </w:r>
            <w:r w:rsidR="001428C4" w:rsidRPr="00B675F4">
              <w:rPr>
                <w:rFonts w:ascii="Times New Roman" w:eastAsia="Times New Roman" w:hAnsi="Times New Roman" w:cs="Times New Roman"/>
                <w:b/>
                <w:sz w:val="24"/>
                <w:szCs w:val="24"/>
                <w:lang w:eastAsia="ru-RU"/>
              </w:rPr>
              <w:t>. Общие положения</w:t>
            </w:r>
          </w:p>
          <w:p w:rsidR="001428C4" w:rsidRPr="00D423B2" w:rsidRDefault="001428C4" w:rsidP="001428C4">
            <w:pPr>
              <w:autoSpaceDE w:val="0"/>
              <w:autoSpaceDN w:val="0"/>
              <w:adjustRightInd w:val="0"/>
              <w:jc w:val="both"/>
              <w:rPr>
                <w:rFonts w:ascii="Times New Roman" w:eastAsia="Times New Roman" w:hAnsi="Times New Roman" w:cs="Times New Roman"/>
                <w:sz w:val="24"/>
                <w:szCs w:val="24"/>
                <w:lang w:eastAsia="ru-RU"/>
              </w:rPr>
            </w:pP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Настоящая Стратегия развития топливно-энергетического комплекса Республики Татарстан на период до 2030 года (далее – Стратегия) определяет цели и задачи долгосрочного развития топливно-энергетического комплекса Республики Татарстан на период до 2030 года как основы обеспечения роста валового регионального продукта и благосостояния населения при максимально эффективном использовании топливно-энергетических ресурсов.</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lastRenderedPageBreak/>
              <w:t>При разработке Стратегии учитывались нижеизложенные факторы.</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Существенная трансформация на мировых рынках, связанная с появлением на рынке сланцевого газа, сланцевой нефти и переориентацией ряда крупных стран-импортеров энергоресурсов на энергетическое самообеспечение, реализация декларации о сотрудничестве между членами Организации стран – экспортеров нефти (далее – ОПЕК), высокая волатильность нефтяных цен, санкции США и Европейского союза в отношении Российской Федерации, замедление темпов экономического роста в Российской Федерации, ухудшение минерально-сырьевой базы топливно-энергетического комплекса привели к радикальным изменениям во всей мировой нефтегазовой промышленности и необходимости актуализации отраслевых программных документов и разработки новых законодательных инициатив.</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 xml:space="preserve">В частности, Правительством Российской Федерации разработан проект Энергетической стратегии России на период до 2035 года. </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Приняты федеральные законы, направленные на переход к новой системе налогообложения путем введения налога на дополнительный доход от добычи углеводородного сырья (далее – НДД), а также на завершение «налогового маневра» в нефтяной отрасли.</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Распоряжением Правительства Российской Федерации от 28 февраля</w:t>
            </w:r>
            <w:r w:rsidRPr="00EA19CD">
              <w:rPr>
                <w:rFonts w:ascii="Times New Roman" w:eastAsia="Times New Roman" w:hAnsi="Times New Roman" w:cs="Times New Roman"/>
                <w:sz w:val="24"/>
                <w:szCs w:val="24"/>
                <w:lang w:eastAsia="ru-RU"/>
              </w:rPr>
              <w:br/>
              <w:t xml:space="preserve">2019 года № 348-р утвержден План мероприятий («дорожная карта») по развитию </w:t>
            </w:r>
            <w:r w:rsidRPr="00EA19CD">
              <w:rPr>
                <w:rFonts w:ascii="Times New Roman" w:eastAsia="Times New Roman" w:hAnsi="Times New Roman" w:cs="Times New Roman"/>
                <w:sz w:val="24"/>
                <w:szCs w:val="24"/>
                <w:lang w:eastAsia="ru-RU"/>
              </w:rPr>
              <w:lastRenderedPageBreak/>
              <w:t>нефтегазохимического комплекса в Российской Федерации на период до 2025 года.</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 xml:space="preserve">Распоряжением Правительства Российской Федерации от 22 декабря 2018 года </w:t>
            </w:r>
            <w:r w:rsidRPr="00EA19CD">
              <w:rPr>
                <w:rFonts w:ascii="Times New Roman" w:eastAsia="Times New Roman" w:hAnsi="Times New Roman" w:cs="Times New Roman"/>
                <w:sz w:val="24"/>
                <w:szCs w:val="24"/>
                <w:lang w:eastAsia="ru-RU"/>
              </w:rPr>
              <w:br/>
              <w:t>№ 2914-р утверждена Стратегия развития минерально-сырьевой базы Российской Федерации до 2035 года.</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Отмечается:</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устойчивый рост спроса на нефть;</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рост доли природного газа в мировом потреблении. По данным Международного энергетического агентства, в 2018 году увеличился спрос на все виды топлива. При этом на долю природного газа приходится 45 процентов роста энергопотребления, главным образом, за счет Китайской Народной Республики и США;</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высокие темпы роста доли энергии, производимой на основе возобновляемых источников;</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усиление тенденций регионализации рынков нефти и газа, рост экономик и доли развивающихся стран в мировом энергопотреблении;</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обострение геополитической конкуренции;</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ускорение научно-технологического развития;</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 xml:space="preserve">резкий рост конкуренции на межтопливном рынке, тенденция замещения нефтяных моторных топлив на альтернативные и возобновляемые источники энергии: компримированный и сжиженный природный газ, электрические батареи и топливные элементы. </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lastRenderedPageBreak/>
              <w:t xml:space="preserve">Российская Федерация входит в число ведущих стран мира – производителей нефтепродуктов. </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В 2018 году, по данным Министерства энергетики Российской Федерации, переработкой нефти и газового конденсата, а также промышленным производством товарных нефтепродуктов занимались 80 специализированных нефтеперерабатывающих и газоперерабатывающих предприятий. Общий объем первичной переработки нефтяного сырья на нефтеперерабатывающих заводах Российской Федерации по сравнению с 2017 годом увеличился на 2,5 процента (или на 7 млн тонн) и составил 286,9 млн тонн, одновременно происходило и повышение его качества (с 2016 года в Российской Федерации выпускается топливо, отвечающее стандарту «Евро-5»).</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В Российской Федерации также увеличился выход светлых нефтепродуктов с 55,7 процента в 2010 году до 62,2 процента в 2018 году. Рост связан с проведением в течение шести последних лет модернизации нефтеперерабатывающих заводов.</w:t>
            </w:r>
            <w:r w:rsidRPr="00EA19CD">
              <w:rPr>
                <w:rFonts w:ascii="Times New Roman" w:eastAsia="Times New Roman" w:hAnsi="Times New Roman" w:cs="Times New Roman"/>
                <w:sz w:val="24"/>
                <w:szCs w:val="24"/>
                <w:lang w:eastAsia="ru-RU"/>
              </w:rPr>
              <w:br/>
              <w:t>В период с 2011 по 2017 год отремонтированы и введены в эксплуатацию</w:t>
            </w:r>
            <w:r w:rsidRPr="00EA19CD">
              <w:rPr>
                <w:rFonts w:ascii="Times New Roman" w:eastAsia="Times New Roman" w:hAnsi="Times New Roman" w:cs="Times New Roman"/>
                <w:sz w:val="24"/>
                <w:szCs w:val="24"/>
                <w:lang w:eastAsia="ru-RU"/>
              </w:rPr>
              <w:br/>
              <w:t>78 установок вторичной переработки. Нефтяные компании взяли на себя обязательства по модернизации до 2027 года 127 установок вторичной переработки нефти.</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Отмечается заметное увеличение глубины переработки нефти, которая по итогам 2018 года составила 83,4 процента, в 2017 году этот показатель не превышал</w:t>
            </w:r>
            <w:r w:rsidRPr="00EA19CD">
              <w:rPr>
                <w:rFonts w:ascii="Times New Roman" w:eastAsia="Times New Roman" w:hAnsi="Times New Roman" w:cs="Times New Roman"/>
                <w:sz w:val="24"/>
                <w:szCs w:val="24"/>
                <w:lang w:eastAsia="ru-RU"/>
              </w:rPr>
              <w:br/>
              <w:t xml:space="preserve">81,3 процента, а в 2010 году – 70,9 процента. Тем </w:t>
            </w:r>
            <w:r w:rsidRPr="00EA19CD">
              <w:rPr>
                <w:rFonts w:ascii="Times New Roman" w:eastAsia="Times New Roman" w:hAnsi="Times New Roman" w:cs="Times New Roman"/>
                <w:sz w:val="24"/>
                <w:szCs w:val="24"/>
                <w:lang w:eastAsia="ru-RU"/>
              </w:rPr>
              <w:lastRenderedPageBreak/>
              <w:t>не менее, в США, для сравнения, глубина переработки нефти составляет 90 – 95 процентов, а на самых современных американских нефтеперерабатывающих заводах – до 98 процентов, в странах – членах ОПЕК – 85 процентов, в Европе 85 – 90 процентов.</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В соответствии с постановлением Правительства Российской Федерации</w:t>
            </w:r>
            <w:r w:rsidRPr="00EA19CD">
              <w:rPr>
                <w:rFonts w:ascii="Times New Roman" w:eastAsia="Times New Roman" w:hAnsi="Times New Roman" w:cs="Times New Roman"/>
                <w:sz w:val="24"/>
                <w:szCs w:val="24"/>
                <w:lang w:eastAsia="ru-RU"/>
              </w:rPr>
              <w:br/>
              <w:t xml:space="preserve">от 29 декабря 2018 года № 1725 «О соглашениях о модернизации нефтеперерабатывающих мощностей» Министерством энергетики Российской Федерации в январе 2019 года заключены и подписаны соглашения о модернизации нефтеперерабатывающих мощностей с девятью нефтеперерабатывающими комплексами: АО «Нефтехимсервис», ОАО «Новошахтинский НПЗ», ООО «Афипский НПЗ», АО «ТАНЕКО», ПАО «Орскнефтеоргсинтез», АО «Антипинский НПЗ», ООО «Марийский НПЗ», ООО «Ильский НПЗ» и ООО «Славянск ЭКО». </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В рамках вышеуказанных соглашений нефтяными компаниями до 1 января 2026 года запланирован ввод в эксплуатацию 13 установок вторичной переработки нефти, что позволит увеличить производство автомобильного бензина экологического класса «К5» более чем на 3 млн тонн в год.</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Общий объем инвестиций в установки вторичной переработки в рамках программ модернизации указанных нефтеперерабатывающих заводов за период 2015–2026 годов составит около 300 млрд руб.</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lastRenderedPageBreak/>
              <w:t>К числу важнейших задач по модернизации предприятий нефтеперерабатывающей и нефтехимической промышленности Российской Федерации относятся:</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переход от торговли сырой нефтью к торговле нефтепродуктами и продуктами нефтехимии;</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производство нефтепродуктов, соответствующих действующим требованиям экологических стандартов;</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модернизация действующих предприятий, строительство новых производств в целях увеличения глубины и комплексности переработки углеводородного сырья;</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развитие отечественных технологий переработки газового и нефтяного сырья.</w:t>
            </w:r>
          </w:p>
          <w:p w:rsidR="00EA19CD" w:rsidRPr="00EA19CD" w:rsidRDefault="00EA19CD" w:rsidP="00EA19CD">
            <w:pPr>
              <w:autoSpaceDE w:val="0"/>
              <w:autoSpaceDN w:val="0"/>
              <w:adjustRightInd w:val="0"/>
              <w:ind w:firstLine="709"/>
              <w:jc w:val="both"/>
              <w:rPr>
                <w:rFonts w:ascii="Times New Roman" w:eastAsia="Times New Roman" w:hAnsi="Times New Roman" w:cs="Times New Roman"/>
                <w:sz w:val="24"/>
                <w:szCs w:val="24"/>
                <w:lang w:eastAsia="ru-RU"/>
              </w:rPr>
            </w:pPr>
            <w:r w:rsidRPr="00EA19CD">
              <w:rPr>
                <w:rFonts w:ascii="Times New Roman" w:eastAsia="Times New Roman" w:hAnsi="Times New Roman" w:cs="Times New Roman"/>
                <w:sz w:val="24"/>
                <w:szCs w:val="24"/>
                <w:lang w:eastAsia="ru-RU"/>
              </w:rPr>
              <w:t>Настоящая Стратегия учитывает основные положения Стратегии социально-экономического развития Республики Татарстан до 2030 года, утвержденной Законом Республики Татарстан от 17 июня 2015 года № 40-ЗРТ «Об утверждении Стратегии социально-экономического развития Республики Татарстан</w:t>
            </w:r>
            <w:r w:rsidRPr="00EA19CD">
              <w:rPr>
                <w:rFonts w:ascii="Times New Roman" w:eastAsia="Times New Roman" w:hAnsi="Times New Roman" w:cs="Times New Roman"/>
                <w:sz w:val="24"/>
                <w:szCs w:val="24"/>
                <w:lang w:eastAsia="ru-RU"/>
              </w:rPr>
              <w:br/>
              <w:t xml:space="preserve">до 2030 года», и актуализирует целевые показатели развития отраслей топливно-энергетического комплекса республики на основе достигнутых результатов и трендов. Так, например, внедрение предприятиями нефтяной промышленности Республики Татарстан новых технологий в процессе добычи нефти, в том числе высоковязкой, и геологоразведки, обеспечило уже в период 2014 – 2018 годов добычу нефти в объеме 35 511 тыс. тонн, эксплуатационное бурение – 1680 тыс. метров и </w:t>
            </w:r>
            <w:r w:rsidRPr="00EA19CD">
              <w:rPr>
                <w:rFonts w:ascii="Times New Roman" w:eastAsia="Times New Roman" w:hAnsi="Times New Roman" w:cs="Times New Roman"/>
                <w:sz w:val="24"/>
                <w:szCs w:val="24"/>
                <w:lang w:eastAsia="ru-RU"/>
              </w:rPr>
              <w:lastRenderedPageBreak/>
              <w:t>прирост запасов – 52 млн тонн (при плановых 32 616,5 тыс. тонн, 1390 тыс. м 32,5 млн тонн соответственно).</w:t>
            </w:r>
          </w:p>
          <w:p w:rsidR="00A66896" w:rsidRPr="00D423B2" w:rsidRDefault="00A66896" w:rsidP="001428C4">
            <w:pPr>
              <w:autoSpaceDE w:val="0"/>
              <w:autoSpaceDN w:val="0"/>
              <w:adjustRightInd w:val="0"/>
              <w:ind w:firstLine="709"/>
              <w:jc w:val="both"/>
              <w:rPr>
                <w:rFonts w:ascii="Times New Roman" w:eastAsia="Times New Roman" w:hAnsi="Times New Roman" w:cs="Times New Roman"/>
                <w:sz w:val="24"/>
                <w:szCs w:val="24"/>
                <w:lang w:eastAsia="ru-RU"/>
              </w:rPr>
            </w:pPr>
          </w:p>
          <w:p w:rsidR="00A66896" w:rsidRPr="00D423B2" w:rsidRDefault="00FF58CE" w:rsidP="00A66896">
            <w:pPr>
              <w:autoSpaceDE w:val="0"/>
              <w:autoSpaceDN w:val="0"/>
              <w:adjustRightInd w:val="0"/>
              <w:jc w:val="center"/>
              <w:outlineLvl w:val="1"/>
              <w:rPr>
                <w:rFonts w:ascii="Times New Roman" w:eastAsia="Times New Roman" w:hAnsi="Times New Roman" w:cs="Times New Roman"/>
                <w:b/>
                <w:sz w:val="24"/>
                <w:szCs w:val="24"/>
                <w:lang w:eastAsia="ru-RU"/>
              </w:rPr>
            </w:pPr>
            <w:r w:rsidRPr="00251654">
              <w:rPr>
                <w:rFonts w:ascii="Times New Roman" w:eastAsia="Times New Roman" w:hAnsi="Times New Roman" w:cs="Times New Roman"/>
                <w:b/>
                <w:sz w:val="24"/>
                <w:szCs w:val="24"/>
                <w:lang w:eastAsia="ru-RU"/>
              </w:rPr>
              <w:t>2</w:t>
            </w:r>
            <w:r w:rsidR="00A66896" w:rsidRPr="00251654">
              <w:rPr>
                <w:rFonts w:ascii="Times New Roman" w:eastAsia="Times New Roman" w:hAnsi="Times New Roman" w:cs="Times New Roman"/>
                <w:b/>
                <w:sz w:val="24"/>
                <w:szCs w:val="24"/>
                <w:lang w:eastAsia="ru-RU"/>
              </w:rPr>
              <w:t>.</w:t>
            </w:r>
            <w:r w:rsidR="00A66896" w:rsidRPr="00D423B2">
              <w:rPr>
                <w:rFonts w:ascii="Times New Roman" w:eastAsia="Times New Roman" w:hAnsi="Times New Roman" w:cs="Times New Roman"/>
                <w:b/>
                <w:sz w:val="24"/>
                <w:szCs w:val="24"/>
                <w:lang w:eastAsia="ru-RU"/>
              </w:rPr>
              <w:t xml:space="preserve"> Цели, задачи и механизмы государственной энергетической</w:t>
            </w:r>
            <w:r w:rsidR="00A66896" w:rsidRPr="00D423B2">
              <w:rPr>
                <w:rFonts w:ascii="Times New Roman" w:eastAsia="Times New Roman" w:hAnsi="Times New Roman" w:cs="Times New Roman"/>
                <w:b/>
                <w:sz w:val="24"/>
                <w:szCs w:val="24"/>
                <w:lang w:eastAsia="ru-RU"/>
              </w:rPr>
              <w:br/>
              <w:t>политики Республики Татарстан</w:t>
            </w:r>
          </w:p>
          <w:p w:rsidR="00A66896" w:rsidRPr="00D423B2" w:rsidRDefault="00A66896" w:rsidP="00A66896">
            <w:pPr>
              <w:autoSpaceDE w:val="0"/>
              <w:autoSpaceDN w:val="0"/>
              <w:adjustRightInd w:val="0"/>
              <w:jc w:val="both"/>
              <w:rPr>
                <w:rFonts w:ascii="Times New Roman" w:eastAsia="Times New Roman" w:hAnsi="Times New Roman" w:cs="Times New Roman"/>
                <w:sz w:val="24"/>
                <w:szCs w:val="24"/>
                <w:lang w:eastAsia="ru-RU"/>
              </w:rPr>
            </w:pP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Целью настоящей Стратегии является обеспечение устойчивого развития минерально-сырьевой базы топливно-энергетического комплекса Республики Татарстан и максимально эффективного использования топливно-энергетических ресурсов и потенциала энергетического сектора для обеспечения роста валового регионального продукта и повышения качества жизни населения республики.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Для достижения указанной цели и удовлетворения внутреннего и внешнего спроса на энергоресурсы требуется решение следующих основных задач:</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повышение эффективности геологоразведочных работ, обеспечение рационального недропользования на основе внедрения инновационных технологий полного, энерго- и ресурсосберегающего извлечения углеводородного сырья из недр и его комплексной, глубокой переработки;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развитие рынка сервисных и инжиниринговых услуг, предоставляемых отечественными компаниями в сфере недропользования;</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 xml:space="preserve">модернизация существующей и создание новой отраслевой энергетической </w:t>
            </w:r>
            <w:r w:rsidRPr="00251654">
              <w:rPr>
                <w:rFonts w:ascii="Times New Roman" w:eastAsia="Times New Roman" w:hAnsi="Times New Roman" w:cs="Times New Roman"/>
                <w:sz w:val="24"/>
                <w:szCs w:val="24"/>
                <w:lang w:eastAsia="ru-RU"/>
              </w:rPr>
              <w:lastRenderedPageBreak/>
              <w:t>инфраструктуры промышленной и социальной сфер Республики Татарстан;</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дальнейшее совершенствование отраслевого налогового законодательства как инструмента, стимулирующего деятельность хозяйствующих субъектов в инвестиционной, инновационной, энергосберегающей и экологической сферах.</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Кроме того, для максимально эффективного использования топливно-энергетических ресурсов и потенциала энергетического сектора необходимо обеспечить:</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нормативную надежность работы производственной структуры энергетического сектора за счет достаточных резервов производственной мощности, пропускной способности энергетических коммуникаций и создания рациональных резервов топлива;</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уменьшение энергоемкости и электроемкости валового регионального продукта за счет совершенствования структуры и технологического обновления отраслей экономики.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Поставленные задачи будут решаться с использованием следующих мер и механизмов государственной энергетической политики в пределах полномочий Республики Татарстан:</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применение института государственного представительства в органах управления предприятий топливно-энергетического комплекса для обеспечения достижения целевых показателей, установленных в настоящей Стратегии;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lastRenderedPageBreak/>
              <w:t>совершенствование законодательного регулирования вопроса предоставления земельных участков для целей недропользования;</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применение мер налогового стимулирования при реализации предприятиями топливно-энергетического комплекса приоритетных инвестиционных и инновационных проектов;</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ликвидация сетевых ограничений для конкуренции на рынке электроэнергии (мощности);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содействие переводу оборудования на существующих котельных на газотурбинное оборудование, обеспечивающее комбинированное производство электрической и тепловой энергии;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внедрение системы экономической мотивации энергосбережения через разработку нормативов и целевых показателей энергоэффективности;</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стимулирование использования газомоторного топлива вместо традиционных нефтяных видов топлива для автомобильного транспорта через расширение существующей сети автомобильных газонаполнительных компрессорных станций; строительство в Республике Татарстан сети крио-АЗС, софинансирование проектов по переводу техники на компримированный и сжиженный природный газ.</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инициирование принятия нормативных правовых актов, направленных на развитие и модернизацию предприятий топливно-энергетического комплекса;</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lastRenderedPageBreak/>
              <w:t>внедрение системы экономической мотивации к применению на производстве экологических стандартов в целях уменьшения негативного влияния добычи, производства, транспортировки и потребления энергоресурсов на окружающую среду, климат и здоровье людей;</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обеспечение глубокой модернизации отраслей топливно-энергетического комплекса и энергетической инфраструктуры, в том числе за счет расширения использования механизма государственно-частного партнерства;</w:t>
            </w:r>
          </w:p>
          <w:p w:rsidR="00251654" w:rsidRPr="00251654" w:rsidRDefault="00251654" w:rsidP="00251654">
            <w:pPr>
              <w:autoSpaceDE w:val="0"/>
              <w:autoSpaceDN w:val="0"/>
              <w:adjustRightInd w:val="0"/>
              <w:ind w:firstLine="709"/>
              <w:jc w:val="both"/>
              <w:rPr>
                <w:rFonts w:ascii="Times New Roman" w:eastAsia="Times New Roman" w:hAnsi="Times New Roman" w:cs="Times New Roman"/>
                <w:sz w:val="24"/>
                <w:szCs w:val="24"/>
                <w:lang w:eastAsia="ru-RU"/>
              </w:rPr>
            </w:pPr>
            <w:r w:rsidRPr="00251654">
              <w:rPr>
                <w:rFonts w:ascii="Times New Roman" w:eastAsia="Times New Roman" w:hAnsi="Times New Roman" w:cs="Times New Roman"/>
                <w:sz w:val="24"/>
                <w:szCs w:val="24"/>
                <w:lang w:eastAsia="ru-RU"/>
              </w:rPr>
              <w:t>содействие предприятиям топливно-энергетического комплекса Республики Татарстан во включении их в федеральные целевые и государственные программы.</w:t>
            </w:r>
          </w:p>
          <w:p w:rsidR="00AF245F" w:rsidRPr="00D423B2" w:rsidRDefault="00AF245F" w:rsidP="007574D8">
            <w:pPr>
              <w:autoSpaceDE w:val="0"/>
              <w:autoSpaceDN w:val="0"/>
              <w:adjustRightInd w:val="0"/>
              <w:ind w:firstLine="709"/>
              <w:jc w:val="both"/>
              <w:rPr>
                <w:rFonts w:ascii="Times New Roman" w:eastAsia="Times New Roman" w:hAnsi="Times New Roman" w:cs="Times New Roman"/>
                <w:sz w:val="24"/>
                <w:szCs w:val="24"/>
                <w:lang w:eastAsia="ru-RU"/>
              </w:rPr>
            </w:pPr>
          </w:p>
          <w:p w:rsidR="00AF245F" w:rsidRPr="00D423B2" w:rsidRDefault="00832EDF" w:rsidP="00AF245F">
            <w:pPr>
              <w:autoSpaceDE w:val="0"/>
              <w:autoSpaceDN w:val="0"/>
              <w:adjustRightInd w:val="0"/>
              <w:jc w:val="center"/>
              <w:outlineLvl w:val="1"/>
              <w:rPr>
                <w:rFonts w:ascii="Times New Roman" w:eastAsia="Times New Roman" w:hAnsi="Times New Roman" w:cs="Times New Roman"/>
                <w:b/>
                <w:sz w:val="24"/>
                <w:szCs w:val="24"/>
                <w:lang w:eastAsia="ru-RU"/>
              </w:rPr>
            </w:pPr>
            <w:r w:rsidRPr="003D43E3">
              <w:rPr>
                <w:rFonts w:ascii="Times New Roman" w:eastAsia="Times New Roman" w:hAnsi="Times New Roman" w:cs="Times New Roman"/>
                <w:b/>
                <w:sz w:val="24"/>
                <w:szCs w:val="24"/>
                <w:lang w:eastAsia="ru-RU"/>
              </w:rPr>
              <w:t>3</w:t>
            </w:r>
            <w:r w:rsidR="00AF245F" w:rsidRPr="003D43E3">
              <w:rPr>
                <w:rFonts w:ascii="Times New Roman" w:eastAsia="Times New Roman" w:hAnsi="Times New Roman" w:cs="Times New Roman"/>
                <w:b/>
                <w:sz w:val="24"/>
                <w:szCs w:val="24"/>
                <w:lang w:eastAsia="ru-RU"/>
              </w:rPr>
              <w:t>.</w:t>
            </w:r>
            <w:r w:rsidR="00AF245F" w:rsidRPr="00D423B2">
              <w:rPr>
                <w:rFonts w:ascii="Times New Roman" w:eastAsia="Times New Roman" w:hAnsi="Times New Roman" w:cs="Times New Roman"/>
                <w:b/>
                <w:sz w:val="24"/>
                <w:szCs w:val="24"/>
                <w:lang w:eastAsia="ru-RU"/>
              </w:rPr>
              <w:t xml:space="preserve"> Развитие нефтегазового комплекса Республики Татарстан</w:t>
            </w:r>
          </w:p>
          <w:p w:rsidR="00AF245F" w:rsidRPr="00D423B2" w:rsidRDefault="00AF245F" w:rsidP="00AF245F">
            <w:pPr>
              <w:autoSpaceDE w:val="0"/>
              <w:autoSpaceDN w:val="0"/>
              <w:adjustRightInd w:val="0"/>
              <w:jc w:val="center"/>
              <w:outlineLvl w:val="1"/>
              <w:rPr>
                <w:rFonts w:ascii="Times New Roman" w:eastAsia="Times New Roman" w:hAnsi="Times New Roman" w:cs="Times New Roman"/>
                <w:b/>
                <w:sz w:val="24"/>
                <w:szCs w:val="24"/>
                <w:lang w:eastAsia="ru-RU"/>
              </w:rPr>
            </w:pPr>
          </w:p>
          <w:p w:rsidR="00AF245F" w:rsidRPr="00D423B2" w:rsidRDefault="00AF245F" w:rsidP="00AF245F">
            <w:pPr>
              <w:autoSpaceDE w:val="0"/>
              <w:autoSpaceDN w:val="0"/>
              <w:adjustRightInd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3.1. Общая характеристика нефтегазового комплекса Республики Татарстан</w:t>
            </w:r>
          </w:p>
          <w:p w:rsidR="00AF245F" w:rsidRPr="00D423B2" w:rsidRDefault="00AF245F" w:rsidP="00AF245F">
            <w:pPr>
              <w:autoSpaceDE w:val="0"/>
              <w:autoSpaceDN w:val="0"/>
              <w:adjustRightInd w:val="0"/>
              <w:jc w:val="both"/>
              <w:rPr>
                <w:rFonts w:ascii="Times New Roman" w:eastAsia="Times New Roman" w:hAnsi="Times New Roman" w:cs="Times New Roman"/>
                <w:sz w:val="24"/>
                <w:szCs w:val="24"/>
                <w:lang w:eastAsia="ru-RU"/>
              </w:rPr>
            </w:pPr>
          </w:p>
          <w:p w:rsidR="004929C8" w:rsidRPr="004929C8" w:rsidRDefault="004929C8" w:rsidP="004929C8">
            <w:pPr>
              <w:autoSpaceDE w:val="0"/>
              <w:autoSpaceDN w:val="0"/>
              <w:adjustRightInd w:val="0"/>
              <w:ind w:firstLine="709"/>
              <w:jc w:val="both"/>
              <w:rPr>
                <w:rFonts w:ascii="Times New Roman" w:eastAsia="Times New Roman" w:hAnsi="Times New Roman" w:cs="Times New Roman"/>
                <w:sz w:val="24"/>
                <w:szCs w:val="24"/>
                <w:lang w:eastAsia="ru-RU"/>
              </w:rPr>
            </w:pPr>
            <w:r w:rsidRPr="004929C8">
              <w:rPr>
                <w:rFonts w:ascii="Times New Roman" w:eastAsia="Times New Roman" w:hAnsi="Times New Roman" w:cs="Times New Roman"/>
                <w:sz w:val="24"/>
                <w:szCs w:val="24"/>
                <w:lang w:eastAsia="ru-RU"/>
              </w:rPr>
              <w:t>Топливно-энергетический комплекс Республики Татарстан включает в себя нефтедобычу и нефтепереработку, энергетику и систему газоснабжения. Входящие в состав топливно-энергетического комплекса республики отрасли взаимосвязаны в рамках цепочки потребляемого сырья и энергоресурсов.</w:t>
            </w:r>
          </w:p>
          <w:p w:rsidR="004929C8" w:rsidRPr="004929C8" w:rsidRDefault="004929C8" w:rsidP="004929C8">
            <w:pPr>
              <w:autoSpaceDE w:val="0"/>
              <w:autoSpaceDN w:val="0"/>
              <w:adjustRightInd w:val="0"/>
              <w:ind w:firstLine="709"/>
              <w:jc w:val="both"/>
              <w:rPr>
                <w:rFonts w:ascii="Times New Roman" w:eastAsia="Times New Roman" w:hAnsi="Times New Roman" w:cs="Times New Roman"/>
                <w:sz w:val="24"/>
                <w:szCs w:val="24"/>
                <w:lang w:eastAsia="ru-RU"/>
              </w:rPr>
            </w:pPr>
            <w:r w:rsidRPr="004929C8">
              <w:rPr>
                <w:rFonts w:ascii="Times New Roman" w:eastAsia="Times New Roman" w:hAnsi="Times New Roman" w:cs="Times New Roman"/>
                <w:sz w:val="24"/>
                <w:szCs w:val="24"/>
                <w:lang w:eastAsia="ru-RU"/>
              </w:rPr>
              <w:t xml:space="preserve">Топливно-энергетический комплекс республики является основой ее экономики. По итогам 2018 года предприятиями комплекса выпущено 49 процентов объема промышленного производства, обеспечено 75 процентов прибыли </w:t>
            </w:r>
            <w:r w:rsidRPr="004929C8">
              <w:rPr>
                <w:rFonts w:ascii="Times New Roman" w:eastAsia="Times New Roman" w:hAnsi="Times New Roman" w:cs="Times New Roman"/>
                <w:sz w:val="24"/>
                <w:szCs w:val="24"/>
                <w:lang w:eastAsia="ru-RU"/>
              </w:rPr>
              <w:lastRenderedPageBreak/>
              <w:t>региона. Доля топливно-энергетического комплекса в добавленной стоимости составила</w:t>
            </w:r>
            <w:r w:rsidRPr="004929C8">
              <w:rPr>
                <w:rFonts w:ascii="Times New Roman" w:eastAsia="Times New Roman" w:hAnsi="Times New Roman" w:cs="Times New Roman"/>
                <w:sz w:val="24"/>
                <w:szCs w:val="24"/>
                <w:lang w:eastAsia="ru-RU"/>
              </w:rPr>
              <w:br/>
              <w:t>35 процентов.</w:t>
            </w:r>
          </w:p>
          <w:p w:rsidR="004929C8" w:rsidRPr="004929C8" w:rsidRDefault="004929C8" w:rsidP="004929C8">
            <w:pPr>
              <w:autoSpaceDE w:val="0"/>
              <w:autoSpaceDN w:val="0"/>
              <w:adjustRightInd w:val="0"/>
              <w:ind w:firstLine="709"/>
              <w:jc w:val="both"/>
              <w:rPr>
                <w:rFonts w:ascii="Times New Roman" w:eastAsia="Times New Roman" w:hAnsi="Times New Roman" w:cs="Times New Roman"/>
                <w:sz w:val="24"/>
                <w:szCs w:val="24"/>
                <w:lang w:eastAsia="ru-RU"/>
              </w:rPr>
            </w:pPr>
            <w:r w:rsidRPr="004929C8">
              <w:rPr>
                <w:rFonts w:ascii="Times New Roman" w:eastAsia="Times New Roman" w:hAnsi="Times New Roman" w:cs="Times New Roman"/>
                <w:sz w:val="24"/>
                <w:szCs w:val="24"/>
                <w:lang w:eastAsia="ru-RU"/>
              </w:rPr>
              <w:t xml:space="preserve">Основой нефтегазового комплекса является нефтедобыча. Нефть добывается на территории 22 муниципальных районов Республики Татарстан. Разрабатываемые месторождения сосредоточены на Южно-Татарском своде, юго-восточном склоне Северо-Татарского свода и восточном борту Мелекесской впадины </w:t>
            </w:r>
            <w:hyperlink w:anchor="P103" w:history="1">
              <w:r w:rsidRPr="004929C8">
                <w:rPr>
                  <w:rStyle w:val="a9"/>
                  <w:rFonts w:ascii="Times New Roman" w:eastAsia="Times New Roman" w:hAnsi="Times New Roman" w:cs="Times New Roman"/>
                  <w:color w:val="000000" w:themeColor="text1"/>
                  <w:sz w:val="24"/>
                  <w:szCs w:val="24"/>
                  <w:u w:val="none"/>
                  <w:lang w:eastAsia="ru-RU"/>
                </w:rPr>
                <w:t>(рисунок 1)</w:t>
              </w:r>
            </w:hyperlink>
            <w:r w:rsidRPr="004929C8">
              <w:rPr>
                <w:rFonts w:ascii="Times New Roman" w:eastAsia="Times New Roman" w:hAnsi="Times New Roman" w:cs="Times New Roman"/>
                <w:color w:val="000000" w:themeColor="text1"/>
                <w:sz w:val="24"/>
                <w:szCs w:val="24"/>
                <w:lang w:eastAsia="ru-RU"/>
              </w:rPr>
              <w:t>.</w:t>
            </w:r>
          </w:p>
          <w:p w:rsidR="004D2513" w:rsidRPr="00D423B2" w:rsidRDefault="004D2513" w:rsidP="00AF245F">
            <w:pPr>
              <w:autoSpaceDE w:val="0"/>
              <w:autoSpaceDN w:val="0"/>
              <w:adjustRightInd w:val="0"/>
              <w:ind w:firstLine="709"/>
              <w:jc w:val="both"/>
              <w:rPr>
                <w:rFonts w:ascii="Times New Roman" w:eastAsia="Times New Roman" w:hAnsi="Times New Roman" w:cs="Times New Roman"/>
                <w:sz w:val="24"/>
                <w:szCs w:val="24"/>
                <w:lang w:eastAsia="ru-RU"/>
              </w:rPr>
            </w:pPr>
          </w:p>
          <w:p w:rsidR="00AF245F" w:rsidRPr="00D423B2" w:rsidRDefault="00B02E20" w:rsidP="007574D8">
            <w:pPr>
              <w:autoSpaceDE w:val="0"/>
              <w:autoSpaceDN w:val="0"/>
              <w:adjustRightInd w:val="0"/>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4487B5E8" wp14:editId="255A56A8">
                  <wp:extent cx="2304415" cy="1615440"/>
                  <wp:effectExtent l="0" t="0" r="635"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04415" cy="1615440"/>
                          </a:xfrm>
                          <a:prstGeom prst="rect">
                            <a:avLst/>
                          </a:prstGeom>
                          <a:noFill/>
                        </pic:spPr>
                      </pic:pic>
                    </a:graphicData>
                  </a:graphic>
                </wp:inline>
              </w:drawing>
            </w:r>
          </w:p>
          <w:p w:rsidR="007574D8" w:rsidRPr="00D423B2" w:rsidRDefault="007574D8" w:rsidP="00A66896">
            <w:pPr>
              <w:autoSpaceDE w:val="0"/>
              <w:autoSpaceDN w:val="0"/>
              <w:adjustRightInd w:val="0"/>
              <w:ind w:firstLine="709"/>
              <w:jc w:val="both"/>
              <w:rPr>
                <w:rFonts w:ascii="Times New Roman" w:eastAsia="Times New Roman" w:hAnsi="Times New Roman" w:cs="Times New Roman"/>
                <w:sz w:val="24"/>
                <w:szCs w:val="24"/>
                <w:lang w:eastAsia="ru-RU"/>
              </w:rPr>
            </w:pPr>
          </w:p>
          <w:p w:rsidR="006C2B43" w:rsidRPr="006C2B43" w:rsidRDefault="006C2B43" w:rsidP="006C2B43">
            <w:pPr>
              <w:autoSpaceDE w:val="0"/>
              <w:autoSpaceDN w:val="0"/>
              <w:adjustRightInd w:val="0"/>
              <w:jc w:val="center"/>
              <w:rPr>
                <w:rFonts w:ascii="Times New Roman" w:eastAsia="Times New Roman" w:hAnsi="Times New Roman" w:cs="Times New Roman"/>
                <w:sz w:val="16"/>
                <w:szCs w:val="16"/>
                <w:lang w:eastAsia="ru-RU"/>
              </w:rPr>
            </w:pPr>
            <w:r w:rsidRPr="006C2B43">
              <w:rPr>
                <w:rFonts w:ascii="Times New Roman" w:eastAsia="Times New Roman" w:hAnsi="Times New Roman" w:cs="Times New Roman"/>
                <w:sz w:val="16"/>
                <w:szCs w:val="16"/>
                <w:lang w:eastAsia="ru-RU"/>
              </w:rPr>
              <w:t>Рис. 1. Схема расположения лицензионных площадей на</w:t>
            </w:r>
          </w:p>
          <w:p w:rsidR="006C2B43" w:rsidRPr="006C2B43" w:rsidRDefault="006C2B43" w:rsidP="006C2B43">
            <w:pPr>
              <w:autoSpaceDE w:val="0"/>
              <w:autoSpaceDN w:val="0"/>
              <w:adjustRightInd w:val="0"/>
              <w:jc w:val="center"/>
              <w:rPr>
                <w:rFonts w:ascii="Times New Roman" w:eastAsia="Times New Roman" w:hAnsi="Times New Roman" w:cs="Times New Roman"/>
                <w:sz w:val="16"/>
                <w:szCs w:val="16"/>
                <w:lang w:eastAsia="ru-RU"/>
              </w:rPr>
            </w:pPr>
            <w:r w:rsidRPr="006C2B43">
              <w:rPr>
                <w:rFonts w:ascii="Times New Roman" w:eastAsia="Times New Roman" w:hAnsi="Times New Roman" w:cs="Times New Roman"/>
                <w:sz w:val="16"/>
                <w:szCs w:val="16"/>
                <w:lang w:eastAsia="ru-RU"/>
              </w:rPr>
              <w:t>геологическое изучение, разведку и добычу нефти и</w:t>
            </w:r>
          </w:p>
          <w:p w:rsidR="001A7F23" w:rsidRPr="00D423B2" w:rsidRDefault="006C2B43" w:rsidP="006C2B43">
            <w:pPr>
              <w:autoSpaceDE w:val="0"/>
              <w:autoSpaceDN w:val="0"/>
              <w:adjustRightInd w:val="0"/>
              <w:jc w:val="center"/>
              <w:rPr>
                <w:rFonts w:ascii="Times New Roman" w:eastAsia="Times New Roman" w:hAnsi="Times New Roman" w:cs="Times New Roman"/>
                <w:sz w:val="16"/>
                <w:szCs w:val="16"/>
                <w:lang w:eastAsia="ru-RU"/>
              </w:rPr>
            </w:pPr>
            <w:r w:rsidRPr="006C2B43">
              <w:rPr>
                <w:rFonts w:ascii="Times New Roman" w:eastAsia="Times New Roman" w:hAnsi="Times New Roman" w:cs="Times New Roman"/>
                <w:sz w:val="16"/>
                <w:szCs w:val="16"/>
                <w:lang w:eastAsia="ru-RU"/>
              </w:rPr>
              <w:t>нераспределенного фонда недр Республики Татарстан</w:t>
            </w:r>
          </w:p>
          <w:p w:rsidR="006C2B43" w:rsidRDefault="00CF0EDC" w:rsidP="001A7F23">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p w:rsidR="00E51761" w:rsidRPr="00E51761" w:rsidRDefault="006C2B43" w:rsidP="00E51761">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1761" w:rsidRPr="00E51761">
              <w:rPr>
                <w:rFonts w:ascii="Times New Roman" w:eastAsia="Times New Roman" w:hAnsi="Times New Roman" w:cs="Times New Roman"/>
                <w:sz w:val="24"/>
                <w:szCs w:val="24"/>
                <w:lang w:eastAsia="ru-RU"/>
              </w:rPr>
              <w:t>За период 2017 – 2018 годов при суммарном объеме нефтедобычи в Республике Татарстан в 72,1 млн тонн прирост запасов промышленных категорий составил 84,7 млн тонн.</w:t>
            </w:r>
          </w:p>
          <w:p w:rsidR="00E51761" w:rsidRPr="00E51761" w:rsidRDefault="005A48BC" w:rsidP="00E51761">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1761" w:rsidRPr="00E51761">
              <w:rPr>
                <w:rFonts w:ascii="Times New Roman" w:eastAsia="Times New Roman" w:hAnsi="Times New Roman" w:cs="Times New Roman"/>
                <w:sz w:val="24"/>
                <w:szCs w:val="24"/>
                <w:lang w:eastAsia="ru-RU"/>
              </w:rPr>
              <w:t xml:space="preserve">Действующий лицензионный фонд на право пользования недрами нефтяных месторождений и участками недр с целью поиска и оценки месторождений углеводородного сырья состоит из 149 лицензий, в том числе 67 </w:t>
            </w:r>
            <w:r w:rsidR="00E51761" w:rsidRPr="00E51761">
              <w:rPr>
                <w:rFonts w:ascii="Times New Roman" w:eastAsia="Times New Roman" w:hAnsi="Times New Roman" w:cs="Times New Roman"/>
                <w:sz w:val="24"/>
                <w:szCs w:val="24"/>
                <w:lang w:eastAsia="ru-RU"/>
              </w:rPr>
              <w:lastRenderedPageBreak/>
              <w:t>лицензий принадлежат ПАО «Татнефть». По состоянию на 1 апреля 2019 года структура лицензионного фонда углеводородного сырья следующая:</w:t>
            </w:r>
          </w:p>
          <w:p w:rsidR="00E51761" w:rsidRPr="00E51761" w:rsidRDefault="00C25733" w:rsidP="00E51761">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1761" w:rsidRPr="00E51761">
              <w:rPr>
                <w:rFonts w:ascii="Times New Roman" w:eastAsia="Times New Roman" w:hAnsi="Times New Roman" w:cs="Times New Roman"/>
                <w:sz w:val="24"/>
                <w:szCs w:val="24"/>
                <w:lang w:eastAsia="ru-RU"/>
              </w:rPr>
              <w:t>114 лицензий – на добычу;</w:t>
            </w:r>
          </w:p>
          <w:p w:rsidR="00E51761" w:rsidRPr="00E51761" w:rsidRDefault="00C25733" w:rsidP="00E51761">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1761" w:rsidRPr="00E51761">
              <w:rPr>
                <w:rFonts w:ascii="Times New Roman" w:eastAsia="Times New Roman" w:hAnsi="Times New Roman" w:cs="Times New Roman"/>
                <w:sz w:val="24"/>
                <w:szCs w:val="24"/>
                <w:lang w:eastAsia="ru-RU"/>
              </w:rPr>
              <w:t>30 лицензий – на поиск, разведку и добычу;</w:t>
            </w:r>
          </w:p>
          <w:p w:rsidR="00E51761" w:rsidRPr="00E51761" w:rsidRDefault="00C25733" w:rsidP="00E51761">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1761" w:rsidRPr="00E51761">
              <w:rPr>
                <w:rFonts w:ascii="Times New Roman" w:eastAsia="Times New Roman" w:hAnsi="Times New Roman" w:cs="Times New Roman"/>
                <w:sz w:val="24"/>
                <w:szCs w:val="24"/>
                <w:lang w:eastAsia="ru-RU"/>
              </w:rPr>
              <w:t>5 лицензий – на геологическое изучение недр.</w:t>
            </w:r>
          </w:p>
          <w:p w:rsidR="00E51761" w:rsidRPr="00E51761" w:rsidRDefault="00C25733" w:rsidP="00E51761">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1761" w:rsidRPr="00E51761">
              <w:rPr>
                <w:rFonts w:ascii="Times New Roman" w:eastAsia="Times New Roman" w:hAnsi="Times New Roman" w:cs="Times New Roman"/>
                <w:sz w:val="24"/>
                <w:szCs w:val="24"/>
                <w:lang w:eastAsia="ru-RU"/>
              </w:rPr>
              <w:t>С целью повышения эффективности использования ресурсов углеводородного сырья в Республике Татарстан реализуется стратегия диверсификации структуры промышленного производства, организации и дальнейшего развития комплексной, углубленной переработки нефти. С 2015 по 2018 год доля продукции нефтеперерабатывающей и нефтехимической промышленности в структуре промышленного производства в среднем составила 32 процента на фоне сокращения вклада нефтяной промышленности с 23 до 22 процентов.</w:t>
            </w:r>
          </w:p>
          <w:p w:rsidR="00E51761" w:rsidRPr="00E51761" w:rsidRDefault="00C25733" w:rsidP="00E51761">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1761" w:rsidRPr="00E51761">
              <w:rPr>
                <w:rFonts w:ascii="Times New Roman" w:eastAsia="Times New Roman" w:hAnsi="Times New Roman" w:cs="Times New Roman"/>
                <w:sz w:val="24"/>
                <w:szCs w:val="24"/>
                <w:lang w:eastAsia="ru-RU"/>
              </w:rPr>
              <w:t xml:space="preserve">Ежегодно на территории Республики Татарстан добывается около 36 млн тонн нефти. Нефтедобывающая отрасль Республики Татарстан представлена ПАО «Татнефть», на долю которого приходится порядка 80 процентов добываемой в республике нефти. Компания занимает пятое место в Российской Федерации по добыче нефти. </w:t>
            </w:r>
          </w:p>
          <w:p w:rsidR="00E51761" w:rsidRPr="00E51761" w:rsidRDefault="005A48BC" w:rsidP="00E51761">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1761" w:rsidRPr="00E51761">
              <w:rPr>
                <w:rFonts w:ascii="Times New Roman" w:eastAsia="Times New Roman" w:hAnsi="Times New Roman" w:cs="Times New Roman"/>
                <w:sz w:val="24"/>
                <w:szCs w:val="24"/>
                <w:lang w:eastAsia="ru-RU"/>
              </w:rPr>
              <w:t>В 2018 году компанией ПАО «Татнефть» в Республике Татарстан добыто 29,0 млн тонн нефти и 956 млн куб. метров попутного нефтяного газа.</w:t>
            </w:r>
          </w:p>
          <w:p w:rsidR="00E51761" w:rsidRPr="00E51761" w:rsidRDefault="00C25733" w:rsidP="00E51761">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1761" w:rsidRPr="00E51761">
              <w:rPr>
                <w:rFonts w:ascii="Times New Roman" w:eastAsia="Times New Roman" w:hAnsi="Times New Roman" w:cs="Times New Roman"/>
                <w:sz w:val="24"/>
                <w:szCs w:val="24"/>
                <w:lang w:eastAsia="ru-RU"/>
              </w:rPr>
              <w:t xml:space="preserve">Кроме того, на территории Республики Татарстан работает 30 малых нефтедобывающих </w:t>
            </w:r>
            <w:r w:rsidR="00E51761" w:rsidRPr="00E51761">
              <w:rPr>
                <w:rFonts w:ascii="Times New Roman" w:eastAsia="Times New Roman" w:hAnsi="Times New Roman" w:cs="Times New Roman"/>
                <w:sz w:val="24"/>
                <w:szCs w:val="24"/>
                <w:lang w:eastAsia="ru-RU"/>
              </w:rPr>
              <w:lastRenderedPageBreak/>
              <w:t>компаний (далее – МНК). В 2018 году добыча нефти такими компаниями составила 7,1 млн тонн и 81 млн куб. метров попутного газа при степени утилизации 93 процента.</w:t>
            </w:r>
          </w:p>
          <w:p w:rsidR="00E51761" w:rsidRPr="00E51761" w:rsidRDefault="00C25733" w:rsidP="00E51761">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1761" w:rsidRPr="00E51761">
              <w:rPr>
                <w:rFonts w:ascii="Times New Roman" w:eastAsia="Times New Roman" w:hAnsi="Times New Roman" w:cs="Times New Roman"/>
                <w:sz w:val="24"/>
                <w:szCs w:val="24"/>
                <w:lang w:eastAsia="ru-RU"/>
              </w:rPr>
              <w:t xml:space="preserve">Республика Татарстан является одним из лидеров нефтяной промышленности страны по степени утилизации попутного газа. В настоящее время этот показатель по всем нефтяным компаниям республики составляет 95 процентов </w:t>
            </w:r>
            <w:hyperlink w:anchor="P119" w:history="1">
              <w:r w:rsidR="00E51761" w:rsidRPr="00E51761">
                <w:rPr>
                  <w:rStyle w:val="a9"/>
                  <w:rFonts w:ascii="Times New Roman" w:eastAsia="Times New Roman" w:hAnsi="Times New Roman" w:cs="Times New Roman"/>
                  <w:color w:val="000000" w:themeColor="text1"/>
                  <w:sz w:val="24"/>
                  <w:szCs w:val="24"/>
                  <w:u w:val="none"/>
                  <w:lang w:eastAsia="ru-RU"/>
                </w:rPr>
                <w:t>(таблицы 1 и 2)</w:t>
              </w:r>
            </w:hyperlink>
            <w:r w:rsidR="00E51761" w:rsidRPr="00E51761">
              <w:rPr>
                <w:rFonts w:ascii="Times New Roman" w:eastAsia="Times New Roman" w:hAnsi="Times New Roman" w:cs="Times New Roman"/>
                <w:color w:val="000000" w:themeColor="text1"/>
                <w:sz w:val="24"/>
                <w:szCs w:val="24"/>
                <w:lang w:eastAsia="ru-RU"/>
              </w:rPr>
              <w:t>.</w:t>
            </w:r>
          </w:p>
          <w:p w:rsidR="00A917AF" w:rsidRPr="00D423B2" w:rsidRDefault="00A917AF" w:rsidP="001A7F23">
            <w:pPr>
              <w:autoSpaceDE w:val="0"/>
              <w:autoSpaceDN w:val="0"/>
              <w:adjustRightInd w:val="0"/>
              <w:ind w:firstLine="709"/>
              <w:jc w:val="both"/>
              <w:rPr>
                <w:rFonts w:ascii="Times New Roman" w:eastAsia="Times New Roman" w:hAnsi="Times New Roman" w:cs="Times New Roman"/>
                <w:sz w:val="24"/>
                <w:szCs w:val="24"/>
                <w:lang w:eastAsia="ru-RU"/>
              </w:rPr>
            </w:pPr>
          </w:p>
          <w:p w:rsidR="00A917AF" w:rsidRPr="00D423B2" w:rsidRDefault="00A917AF" w:rsidP="00A917AF">
            <w:pPr>
              <w:autoSpaceDE w:val="0"/>
              <w:autoSpaceDN w:val="0"/>
              <w:adjustRightInd w:val="0"/>
              <w:jc w:val="right"/>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Та</w:t>
            </w:r>
            <w:r w:rsidR="00303C32">
              <w:rPr>
                <w:rFonts w:ascii="Times New Roman" w:eastAsia="Times New Roman" w:hAnsi="Times New Roman" w:cs="Times New Roman"/>
                <w:sz w:val="24"/>
                <w:szCs w:val="24"/>
                <w:lang w:eastAsia="ru-RU"/>
              </w:rPr>
              <w:t xml:space="preserve">блица </w:t>
            </w:r>
            <w:r w:rsidRPr="00D423B2">
              <w:rPr>
                <w:rFonts w:ascii="Times New Roman" w:eastAsia="Times New Roman" w:hAnsi="Times New Roman" w:cs="Times New Roman"/>
                <w:sz w:val="24"/>
                <w:szCs w:val="24"/>
                <w:lang w:eastAsia="ru-RU"/>
              </w:rPr>
              <w:t>1</w:t>
            </w:r>
          </w:p>
          <w:p w:rsidR="00A917AF" w:rsidRPr="00D423B2" w:rsidRDefault="00A917AF" w:rsidP="00A917AF">
            <w:pPr>
              <w:autoSpaceDE w:val="0"/>
              <w:autoSpaceDN w:val="0"/>
              <w:adjustRightInd w:val="0"/>
              <w:jc w:val="center"/>
              <w:rPr>
                <w:rFonts w:ascii="Times New Roman" w:eastAsia="Times New Roman" w:hAnsi="Times New Roman" w:cs="Times New Roman"/>
                <w:sz w:val="24"/>
                <w:szCs w:val="24"/>
                <w:lang w:eastAsia="ru-RU"/>
              </w:rPr>
            </w:pPr>
          </w:p>
          <w:p w:rsidR="00A917AF" w:rsidRPr="00D423B2" w:rsidRDefault="00A917AF" w:rsidP="00A917AF">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Добыча и утилизация попутного нефтяного газа ПАО «Татнефть»</w:t>
            </w:r>
          </w:p>
          <w:p w:rsidR="00A917AF" w:rsidRPr="00D423B2" w:rsidRDefault="00A917AF" w:rsidP="00A917AF">
            <w:pPr>
              <w:autoSpaceDE w:val="0"/>
              <w:autoSpaceDN w:val="0"/>
              <w:adjustRightInd w:val="0"/>
              <w:jc w:val="center"/>
              <w:rPr>
                <w:rFonts w:ascii="Times New Roman" w:eastAsia="Times New Roman" w:hAnsi="Times New Roman" w:cs="Times New Roman"/>
                <w:sz w:val="16"/>
                <w:szCs w:val="16"/>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165"/>
              <w:gridCol w:w="713"/>
              <w:gridCol w:w="714"/>
              <w:gridCol w:w="713"/>
              <w:gridCol w:w="714"/>
            </w:tblGrid>
            <w:tr w:rsidR="009E75FE" w:rsidRPr="009E75FE" w:rsidTr="00062936">
              <w:tc>
                <w:tcPr>
                  <w:tcW w:w="2158"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Наименование показателя / годы</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2015</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2016</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2017</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2018</w:t>
                  </w:r>
                </w:p>
              </w:tc>
            </w:tr>
            <w:tr w:rsidR="009E75FE" w:rsidRPr="009E75FE" w:rsidTr="00062936">
              <w:tc>
                <w:tcPr>
                  <w:tcW w:w="2158" w:type="pct"/>
                </w:tcPr>
                <w:p w:rsidR="009E75FE" w:rsidRPr="009E75FE" w:rsidRDefault="009E75FE" w:rsidP="009E75FE">
                  <w:pPr>
                    <w:pStyle w:val="ConsPlusNormal"/>
                    <w:spacing w:before="60" w:after="60"/>
                    <w:rPr>
                      <w:rFonts w:ascii="Times New Roman" w:hAnsi="Times New Roman" w:cs="Times New Roman"/>
                      <w:sz w:val="16"/>
                      <w:szCs w:val="16"/>
                    </w:rPr>
                  </w:pPr>
                  <w:r w:rsidRPr="009E75FE">
                    <w:rPr>
                      <w:rFonts w:ascii="Times New Roman" w:hAnsi="Times New Roman" w:cs="Times New Roman"/>
                      <w:sz w:val="16"/>
                      <w:szCs w:val="16"/>
                    </w:rPr>
                    <w:t>Добыча попутного газа, млн куб. метров</w:t>
                  </w:r>
                </w:p>
              </w:tc>
              <w:tc>
                <w:tcPr>
                  <w:tcW w:w="710" w:type="pct"/>
                </w:tcPr>
                <w:p w:rsidR="009E75FE" w:rsidRPr="009E75FE" w:rsidRDefault="009E75FE" w:rsidP="009E75FE">
                  <w:pPr>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946,9</w:t>
                  </w:r>
                </w:p>
              </w:tc>
              <w:tc>
                <w:tcPr>
                  <w:tcW w:w="711" w:type="pct"/>
                </w:tcPr>
                <w:p w:rsidR="009E75FE" w:rsidRPr="009E75FE" w:rsidRDefault="009E75FE" w:rsidP="009E75FE">
                  <w:pPr>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978,5</w:t>
                  </w:r>
                </w:p>
              </w:tc>
              <w:tc>
                <w:tcPr>
                  <w:tcW w:w="710" w:type="pct"/>
                </w:tcPr>
                <w:p w:rsidR="009E75FE" w:rsidRPr="009E75FE" w:rsidRDefault="009E75FE" w:rsidP="009E75FE">
                  <w:pPr>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960,0</w:t>
                  </w:r>
                </w:p>
              </w:tc>
              <w:tc>
                <w:tcPr>
                  <w:tcW w:w="711" w:type="pct"/>
                </w:tcPr>
                <w:p w:rsidR="009E75FE" w:rsidRPr="009E75FE" w:rsidRDefault="009E75FE" w:rsidP="009E75FE">
                  <w:pPr>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963,2</w:t>
                  </w:r>
                </w:p>
              </w:tc>
            </w:tr>
            <w:tr w:rsidR="009E75FE" w:rsidRPr="009E75FE" w:rsidTr="00062936">
              <w:tc>
                <w:tcPr>
                  <w:tcW w:w="2158" w:type="pct"/>
                </w:tcPr>
                <w:p w:rsidR="009E75FE" w:rsidRPr="009E75FE" w:rsidRDefault="009E75FE" w:rsidP="009E75FE">
                  <w:pPr>
                    <w:pStyle w:val="ConsPlusNormal"/>
                    <w:spacing w:before="60" w:after="60"/>
                    <w:ind w:left="284"/>
                    <w:rPr>
                      <w:rFonts w:ascii="Times New Roman" w:hAnsi="Times New Roman" w:cs="Times New Roman"/>
                      <w:sz w:val="16"/>
                      <w:szCs w:val="16"/>
                    </w:rPr>
                  </w:pPr>
                  <w:r w:rsidRPr="009E75FE">
                    <w:rPr>
                      <w:rFonts w:ascii="Times New Roman" w:hAnsi="Times New Roman" w:cs="Times New Roman"/>
                      <w:sz w:val="16"/>
                      <w:szCs w:val="16"/>
                    </w:rPr>
                    <w:t>в том числе по Республике Татарстан,  млн куб. метров</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938,5</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971,0</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951,8</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955,8</w:t>
                  </w:r>
                </w:p>
              </w:tc>
            </w:tr>
            <w:tr w:rsidR="009E75FE" w:rsidRPr="009E75FE" w:rsidTr="00062936">
              <w:tc>
                <w:tcPr>
                  <w:tcW w:w="2158" w:type="pct"/>
                </w:tcPr>
                <w:p w:rsidR="009E75FE" w:rsidRPr="009E75FE" w:rsidRDefault="009E75FE" w:rsidP="009E75FE">
                  <w:pPr>
                    <w:pStyle w:val="ConsPlusNormal"/>
                    <w:spacing w:before="60" w:after="60"/>
                    <w:rPr>
                      <w:rFonts w:ascii="Times New Roman" w:hAnsi="Times New Roman" w:cs="Times New Roman"/>
                      <w:sz w:val="16"/>
                      <w:szCs w:val="16"/>
                    </w:rPr>
                  </w:pPr>
                  <w:r w:rsidRPr="009E75FE">
                    <w:rPr>
                      <w:rFonts w:ascii="Times New Roman" w:hAnsi="Times New Roman" w:cs="Times New Roman"/>
                      <w:sz w:val="16"/>
                      <w:szCs w:val="16"/>
                    </w:rPr>
                    <w:t>Прием на переработку, млн куб. метров (поставка на переработку с ННК, ЕНПУ)</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p>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 xml:space="preserve">814,6 </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p>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853,7</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p>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820,1</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p>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845,4</w:t>
                  </w:r>
                </w:p>
              </w:tc>
            </w:tr>
            <w:tr w:rsidR="009E75FE" w:rsidRPr="009E75FE" w:rsidTr="00062936">
              <w:tc>
                <w:tcPr>
                  <w:tcW w:w="2158" w:type="pct"/>
                </w:tcPr>
                <w:p w:rsidR="009E75FE" w:rsidRPr="009E75FE" w:rsidRDefault="009E75FE" w:rsidP="009E75FE">
                  <w:pPr>
                    <w:pStyle w:val="ConsPlusNormal"/>
                    <w:spacing w:before="60" w:after="60"/>
                    <w:rPr>
                      <w:rFonts w:ascii="Times New Roman" w:hAnsi="Times New Roman" w:cs="Times New Roman"/>
                      <w:sz w:val="16"/>
                      <w:szCs w:val="16"/>
                    </w:rPr>
                  </w:pPr>
                  <w:r w:rsidRPr="009E75FE">
                    <w:rPr>
                      <w:rFonts w:ascii="Times New Roman" w:hAnsi="Times New Roman" w:cs="Times New Roman"/>
                      <w:sz w:val="16"/>
                      <w:szCs w:val="16"/>
                    </w:rPr>
                    <w:t>Степень утилизации, %</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 xml:space="preserve">95,17 </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96,44</w:t>
                  </w:r>
                </w:p>
              </w:tc>
              <w:tc>
                <w:tcPr>
                  <w:tcW w:w="710"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96,16</w:t>
                  </w:r>
                </w:p>
              </w:tc>
              <w:tc>
                <w:tcPr>
                  <w:tcW w:w="711" w:type="pct"/>
                </w:tcPr>
                <w:p w:rsidR="009E75FE" w:rsidRPr="009E75FE" w:rsidRDefault="009E75FE" w:rsidP="009E75FE">
                  <w:pPr>
                    <w:pStyle w:val="ConsPlusNormal"/>
                    <w:spacing w:before="60" w:after="60"/>
                    <w:jc w:val="center"/>
                    <w:rPr>
                      <w:rFonts w:ascii="Times New Roman" w:hAnsi="Times New Roman" w:cs="Times New Roman"/>
                      <w:sz w:val="16"/>
                      <w:szCs w:val="16"/>
                    </w:rPr>
                  </w:pPr>
                  <w:r w:rsidRPr="009E75FE">
                    <w:rPr>
                      <w:rFonts w:ascii="Times New Roman" w:hAnsi="Times New Roman" w:cs="Times New Roman"/>
                      <w:sz w:val="16"/>
                      <w:szCs w:val="16"/>
                    </w:rPr>
                    <w:t>96,27</w:t>
                  </w:r>
                </w:p>
              </w:tc>
            </w:tr>
          </w:tbl>
          <w:p w:rsidR="00A66896" w:rsidRPr="00D423B2" w:rsidRDefault="00A66896" w:rsidP="00A66896">
            <w:pPr>
              <w:autoSpaceDE w:val="0"/>
              <w:autoSpaceDN w:val="0"/>
              <w:adjustRightInd w:val="0"/>
              <w:ind w:firstLine="709"/>
              <w:jc w:val="both"/>
              <w:rPr>
                <w:rFonts w:ascii="Times New Roman" w:eastAsia="Times New Roman" w:hAnsi="Times New Roman" w:cs="Times New Roman"/>
                <w:sz w:val="24"/>
                <w:szCs w:val="24"/>
                <w:lang w:eastAsia="ru-RU"/>
              </w:rPr>
            </w:pPr>
          </w:p>
          <w:p w:rsidR="00FC29C6" w:rsidRPr="00D423B2" w:rsidRDefault="00303C32" w:rsidP="00FC29C6">
            <w:pPr>
              <w:autoSpaceDE w:val="0"/>
              <w:autoSpaceDN w:val="0"/>
              <w:adjustRightInd w:val="0"/>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Таблица</w:t>
            </w:r>
            <w:r w:rsidR="00FC29C6" w:rsidRPr="00D423B2">
              <w:rPr>
                <w:rFonts w:ascii="Times New Roman" w:eastAsia="Times New Roman" w:hAnsi="Times New Roman" w:cs="Times New Roman"/>
                <w:sz w:val="24"/>
                <w:szCs w:val="24"/>
                <w:lang w:eastAsia="ru-RU"/>
              </w:rPr>
              <w:t xml:space="preserve"> 2</w:t>
            </w:r>
          </w:p>
          <w:p w:rsidR="00FC29C6" w:rsidRPr="00D423B2" w:rsidRDefault="00FC29C6" w:rsidP="00FC29C6">
            <w:pPr>
              <w:autoSpaceDE w:val="0"/>
              <w:autoSpaceDN w:val="0"/>
              <w:adjustRightInd w:val="0"/>
              <w:jc w:val="center"/>
              <w:rPr>
                <w:rFonts w:ascii="Times New Roman" w:eastAsia="Times New Roman" w:hAnsi="Times New Roman" w:cs="Times New Roman"/>
                <w:sz w:val="24"/>
                <w:szCs w:val="24"/>
                <w:lang w:eastAsia="ru-RU"/>
              </w:rPr>
            </w:pPr>
          </w:p>
          <w:p w:rsidR="00FC29C6" w:rsidRPr="00D423B2" w:rsidRDefault="00FC29C6" w:rsidP="00FC4BFF">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Добыча и утилизация попутного нефтяного газа п</w:t>
            </w:r>
            <w:r w:rsidR="00FC4BFF">
              <w:rPr>
                <w:rFonts w:ascii="Times New Roman" w:eastAsia="Times New Roman" w:hAnsi="Times New Roman" w:cs="Times New Roman"/>
                <w:sz w:val="24"/>
                <w:szCs w:val="24"/>
                <w:lang w:eastAsia="ru-RU"/>
              </w:rPr>
              <w:t xml:space="preserve">о малым компаниям </w:t>
            </w:r>
            <w:r w:rsidRPr="00D423B2">
              <w:rPr>
                <w:rFonts w:ascii="Times New Roman" w:eastAsia="Times New Roman" w:hAnsi="Times New Roman" w:cs="Times New Roman"/>
                <w:sz w:val="24"/>
                <w:szCs w:val="24"/>
                <w:lang w:eastAsia="ru-RU"/>
              </w:rPr>
              <w:t>Республики Татарстан</w:t>
            </w:r>
          </w:p>
          <w:p w:rsidR="00FC29C6" w:rsidRPr="00D423B2" w:rsidRDefault="00FC29C6" w:rsidP="00FC29C6">
            <w:pPr>
              <w:autoSpaceDE w:val="0"/>
              <w:autoSpaceDN w:val="0"/>
              <w:adjustRightInd w:val="0"/>
              <w:jc w:val="both"/>
              <w:rPr>
                <w:rFonts w:ascii="Times New Roman" w:eastAsia="Times New Roman" w:hAnsi="Times New Roman" w:cs="Times New Roman"/>
                <w:sz w:val="16"/>
                <w:szCs w:val="16"/>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168"/>
              <w:gridCol w:w="571"/>
              <w:gridCol w:w="570"/>
              <w:gridCol w:w="570"/>
              <w:gridCol w:w="570"/>
              <w:gridCol w:w="570"/>
            </w:tblGrid>
            <w:tr w:rsidR="00D962E8" w:rsidRPr="00D962E8" w:rsidTr="00062936">
              <w:tc>
                <w:tcPr>
                  <w:tcW w:w="2158" w:type="pct"/>
                </w:tcPr>
                <w:p w:rsidR="00D962E8" w:rsidRPr="00D962E8" w:rsidRDefault="00D962E8" w:rsidP="00D962E8">
                  <w:pPr>
                    <w:pStyle w:val="ConsPlusNormal"/>
                    <w:spacing w:before="60" w:after="60"/>
                    <w:jc w:val="both"/>
                    <w:rPr>
                      <w:rFonts w:ascii="Times New Roman" w:hAnsi="Times New Roman" w:cs="Times New Roman"/>
                      <w:sz w:val="16"/>
                      <w:szCs w:val="16"/>
                    </w:rPr>
                  </w:pPr>
                  <w:r w:rsidRPr="00D962E8">
                    <w:rPr>
                      <w:rFonts w:ascii="Times New Roman" w:hAnsi="Times New Roman" w:cs="Times New Roman"/>
                      <w:sz w:val="16"/>
                      <w:szCs w:val="16"/>
                    </w:rPr>
                    <w:t>Наименование показателя / годы</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2014</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2015</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2016</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2017</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2018</w:t>
                  </w:r>
                </w:p>
              </w:tc>
            </w:tr>
            <w:tr w:rsidR="00D962E8" w:rsidRPr="00D962E8" w:rsidTr="00062936">
              <w:tc>
                <w:tcPr>
                  <w:tcW w:w="2158" w:type="pct"/>
                </w:tcPr>
                <w:p w:rsidR="00D962E8" w:rsidRPr="00D962E8" w:rsidRDefault="00D962E8" w:rsidP="00D962E8">
                  <w:pPr>
                    <w:pStyle w:val="ConsPlusNormal"/>
                    <w:spacing w:before="60" w:after="60"/>
                    <w:jc w:val="both"/>
                    <w:rPr>
                      <w:rFonts w:ascii="Times New Roman" w:hAnsi="Times New Roman" w:cs="Times New Roman"/>
                      <w:sz w:val="16"/>
                      <w:szCs w:val="16"/>
                    </w:rPr>
                  </w:pPr>
                  <w:r w:rsidRPr="00D962E8">
                    <w:rPr>
                      <w:rFonts w:ascii="Times New Roman" w:hAnsi="Times New Roman" w:cs="Times New Roman"/>
                      <w:sz w:val="16"/>
                      <w:szCs w:val="16"/>
                    </w:rPr>
                    <w:t>Добыча попутного газа, млн куб. метров</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75</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83</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87</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86</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81</w:t>
                  </w:r>
                </w:p>
              </w:tc>
            </w:tr>
            <w:tr w:rsidR="00D962E8" w:rsidRPr="00D962E8" w:rsidTr="00062936">
              <w:tc>
                <w:tcPr>
                  <w:tcW w:w="2158" w:type="pct"/>
                </w:tcPr>
                <w:p w:rsidR="00D962E8" w:rsidRPr="00D962E8" w:rsidRDefault="00D962E8" w:rsidP="00D962E8">
                  <w:pPr>
                    <w:pStyle w:val="ConsPlusNormal"/>
                    <w:spacing w:before="60" w:after="60"/>
                    <w:jc w:val="both"/>
                    <w:rPr>
                      <w:rFonts w:ascii="Times New Roman" w:hAnsi="Times New Roman" w:cs="Times New Roman"/>
                      <w:sz w:val="16"/>
                      <w:szCs w:val="16"/>
                    </w:rPr>
                  </w:pPr>
                  <w:r w:rsidRPr="00D962E8">
                    <w:rPr>
                      <w:rFonts w:ascii="Times New Roman" w:hAnsi="Times New Roman" w:cs="Times New Roman"/>
                      <w:sz w:val="16"/>
                      <w:szCs w:val="16"/>
                    </w:rPr>
                    <w:lastRenderedPageBreak/>
                    <w:t>Прием на переработку, млн куб. метров</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70</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79</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79</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80,1</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74,9</w:t>
                  </w:r>
                </w:p>
              </w:tc>
            </w:tr>
            <w:tr w:rsidR="00D962E8" w:rsidRPr="00D962E8" w:rsidTr="00062936">
              <w:tc>
                <w:tcPr>
                  <w:tcW w:w="2158" w:type="pct"/>
                </w:tcPr>
                <w:p w:rsidR="00D962E8" w:rsidRPr="00D962E8" w:rsidRDefault="00D962E8" w:rsidP="00D962E8">
                  <w:pPr>
                    <w:pStyle w:val="ConsPlusNormal"/>
                    <w:spacing w:before="60" w:after="60"/>
                    <w:jc w:val="both"/>
                    <w:rPr>
                      <w:rFonts w:ascii="Times New Roman" w:hAnsi="Times New Roman" w:cs="Times New Roman"/>
                      <w:sz w:val="16"/>
                      <w:szCs w:val="16"/>
                    </w:rPr>
                  </w:pPr>
                  <w:r w:rsidRPr="00D962E8">
                    <w:rPr>
                      <w:rFonts w:ascii="Times New Roman" w:hAnsi="Times New Roman" w:cs="Times New Roman"/>
                      <w:sz w:val="16"/>
                      <w:szCs w:val="16"/>
                    </w:rPr>
                    <w:t>Степень утилизации, %</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93</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95</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91</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93</w:t>
                  </w:r>
                </w:p>
              </w:tc>
              <w:tc>
                <w:tcPr>
                  <w:tcW w:w="568" w:type="pct"/>
                </w:tcPr>
                <w:p w:rsidR="00D962E8" w:rsidRPr="00D962E8" w:rsidRDefault="00D962E8" w:rsidP="00D962E8">
                  <w:pPr>
                    <w:pStyle w:val="ConsPlusNormal"/>
                    <w:spacing w:before="60" w:after="60"/>
                    <w:jc w:val="center"/>
                    <w:rPr>
                      <w:rFonts w:ascii="Times New Roman" w:hAnsi="Times New Roman" w:cs="Times New Roman"/>
                      <w:sz w:val="16"/>
                      <w:szCs w:val="16"/>
                    </w:rPr>
                  </w:pPr>
                  <w:r w:rsidRPr="00D962E8">
                    <w:rPr>
                      <w:rFonts w:ascii="Times New Roman" w:hAnsi="Times New Roman" w:cs="Times New Roman"/>
                      <w:sz w:val="16"/>
                      <w:szCs w:val="16"/>
                    </w:rPr>
                    <w:t>93</w:t>
                  </w:r>
                </w:p>
              </w:tc>
            </w:tr>
          </w:tbl>
          <w:p w:rsidR="00A66896" w:rsidRPr="00D423B2" w:rsidRDefault="00A66896" w:rsidP="001428C4">
            <w:pPr>
              <w:autoSpaceDE w:val="0"/>
              <w:autoSpaceDN w:val="0"/>
              <w:adjustRightInd w:val="0"/>
              <w:ind w:firstLine="709"/>
              <w:jc w:val="both"/>
              <w:rPr>
                <w:rFonts w:ascii="Times New Roman" w:eastAsia="Times New Roman" w:hAnsi="Times New Roman" w:cs="Times New Roman"/>
                <w:sz w:val="24"/>
                <w:szCs w:val="24"/>
                <w:lang w:eastAsia="ru-RU"/>
              </w:rPr>
            </w:pPr>
          </w:p>
          <w:p w:rsidR="00831BBB" w:rsidRPr="00D423B2" w:rsidRDefault="00831BBB" w:rsidP="00831BBB">
            <w:pPr>
              <w:jc w:val="center"/>
              <w:rPr>
                <w:rFonts w:ascii="Times New Roman" w:hAnsi="Times New Roman" w:cs="Times New Roman"/>
                <w:b/>
                <w:sz w:val="24"/>
                <w:szCs w:val="24"/>
              </w:rPr>
            </w:pPr>
            <w:r w:rsidRPr="00D423B2">
              <w:rPr>
                <w:rFonts w:ascii="Times New Roman" w:hAnsi="Times New Roman" w:cs="Times New Roman"/>
                <w:b/>
                <w:sz w:val="24"/>
                <w:szCs w:val="24"/>
              </w:rPr>
              <w:t>3.2. Современное состояние минерально-сырьевой базы углеводородов Республики Татарстан</w:t>
            </w:r>
          </w:p>
          <w:p w:rsidR="00831BBB" w:rsidRPr="00D423B2" w:rsidRDefault="00831BBB" w:rsidP="00831BBB">
            <w:pPr>
              <w:jc w:val="center"/>
              <w:rPr>
                <w:rFonts w:ascii="Times New Roman" w:hAnsi="Times New Roman" w:cs="Times New Roman"/>
                <w:b/>
                <w:sz w:val="24"/>
                <w:szCs w:val="24"/>
              </w:rPr>
            </w:pPr>
          </w:p>
          <w:p w:rsidR="00C34677" w:rsidRPr="00C34677" w:rsidRDefault="00C34677" w:rsidP="00C34677">
            <w:pPr>
              <w:autoSpaceDE w:val="0"/>
              <w:autoSpaceDN w:val="0"/>
              <w:adjustRightInd w:val="0"/>
              <w:ind w:firstLine="709"/>
              <w:jc w:val="both"/>
              <w:rPr>
                <w:rFonts w:ascii="Times New Roman" w:eastAsia="Times New Roman" w:hAnsi="Times New Roman" w:cs="Times New Roman"/>
                <w:sz w:val="24"/>
                <w:szCs w:val="24"/>
                <w:lang w:eastAsia="ru-RU"/>
              </w:rPr>
            </w:pPr>
            <w:r w:rsidRPr="00C34677">
              <w:rPr>
                <w:rFonts w:ascii="Times New Roman" w:eastAsia="Times New Roman" w:hAnsi="Times New Roman" w:cs="Times New Roman"/>
                <w:sz w:val="24"/>
                <w:szCs w:val="24"/>
                <w:lang w:eastAsia="ru-RU"/>
              </w:rPr>
              <w:t>В настоящее время ввиду естественного истощения и длительного срока эксплуатации основных крупных нефтяных месторождений сформировалась устойчивая тенденция ухудшения сырьевой базы нефтяной промышленности Российской Федерации. Доля активных запасов, которые обеспечивают</w:t>
            </w:r>
            <w:r w:rsidRPr="00C34677">
              <w:rPr>
                <w:rFonts w:ascii="Times New Roman" w:eastAsia="Times New Roman" w:hAnsi="Times New Roman" w:cs="Times New Roman"/>
                <w:sz w:val="24"/>
                <w:szCs w:val="24"/>
                <w:lang w:eastAsia="ru-RU"/>
              </w:rPr>
              <w:br/>
              <w:t>70 процентов всей нефтедобычи в стране, сократилась до 40 процентов. Степень их выработки увеличилась до 75 процентов. Доля трудноизвлекаемых запасов составляет 60 процентов, степень их выработки остается низкой (до 30 процентов).</w:t>
            </w:r>
          </w:p>
          <w:p w:rsidR="00C34677" w:rsidRPr="00C34677" w:rsidRDefault="00C34677" w:rsidP="00C34677">
            <w:pPr>
              <w:autoSpaceDE w:val="0"/>
              <w:autoSpaceDN w:val="0"/>
              <w:adjustRightInd w:val="0"/>
              <w:ind w:firstLine="709"/>
              <w:jc w:val="both"/>
              <w:rPr>
                <w:rFonts w:ascii="Times New Roman" w:eastAsia="Times New Roman" w:hAnsi="Times New Roman" w:cs="Times New Roman"/>
                <w:sz w:val="24"/>
                <w:szCs w:val="24"/>
                <w:lang w:eastAsia="ru-RU"/>
              </w:rPr>
            </w:pPr>
            <w:r w:rsidRPr="00C34677">
              <w:rPr>
                <w:rFonts w:ascii="Times New Roman" w:eastAsia="Times New Roman" w:hAnsi="Times New Roman" w:cs="Times New Roman"/>
                <w:sz w:val="24"/>
                <w:szCs w:val="24"/>
                <w:lang w:eastAsia="ru-RU"/>
              </w:rPr>
              <w:t>В Республике Татарстан доля трудноизвлекаемых запасов еще более существенна и составляет 84 процента. По малым нефтедобывающим компаниям доля активных запасов нефти составляет 18,2 процента, степень выработанности – около 70 процентов. Доля трудноизвлекаемых запасов составляет 81,8 процента, а степень их выработанности по МНК – 31,75 процента.</w:t>
            </w:r>
          </w:p>
          <w:p w:rsidR="00C34677" w:rsidRPr="00C34677" w:rsidRDefault="00C34677" w:rsidP="00C34677">
            <w:pPr>
              <w:autoSpaceDE w:val="0"/>
              <w:autoSpaceDN w:val="0"/>
              <w:adjustRightInd w:val="0"/>
              <w:ind w:firstLine="709"/>
              <w:jc w:val="both"/>
              <w:rPr>
                <w:rFonts w:ascii="Times New Roman" w:eastAsia="Times New Roman" w:hAnsi="Times New Roman" w:cs="Times New Roman"/>
                <w:sz w:val="24"/>
                <w:szCs w:val="24"/>
                <w:lang w:eastAsia="ru-RU"/>
              </w:rPr>
            </w:pPr>
            <w:r w:rsidRPr="00C34677">
              <w:rPr>
                <w:rFonts w:ascii="Times New Roman" w:eastAsia="Times New Roman" w:hAnsi="Times New Roman" w:cs="Times New Roman"/>
                <w:sz w:val="24"/>
                <w:szCs w:val="24"/>
                <w:lang w:eastAsia="ru-RU"/>
              </w:rPr>
              <w:t xml:space="preserve">В Российской Федерации с 2006 года обеспечивается расширенное воспроизводство запасов. Состояние восполнения запасов нефти в Российской Федерации приведено в </w:t>
            </w:r>
            <w:hyperlink w:anchor="P164" w:history="1">
              <w:r w:rsidRPr="00C34677">
                <w:rPr>
                  <w:rStyle w:val="a9"/>
                  <w:rFonts w:ascii="Times New Roman" w:eastAsia="Times New Roman" w:hAnsi="Times New Roman" w:cs="Times New Roman"/>
                  <w:color w:val="000000" w:themeColor="text1"/>
                  <w:sz w:val="24"/>
                  <w:szCs w:val="24"/>
                  <w:u w:val="none"/>
                  <w:lang w:eastAsia="ru-RU"/>
                </w:rPr>
                <w:t xml:space="preserve">таблице </w:t>
              </w:r>
            </w:hyperlink>
            <w:r w:rsidRPr="00C34677">
              <w:rPr>
                <w:rFonts w:ascii="Times New Roman" w:eastAsia="Times New Roman" w:hAnsi="Times New Roman" w:cs="Times New Roman"/>
                <w:color w:val="000000" w:themeColor="text1"/>
                <w:sz w:val="24"/>
                <w:szCs w:val="24"/>
                <w:lang w:eastAsia="ru-RU"/>
              </w:rPr>
              <w:t>3.</w:t>
            </w:r>
          </w:p>
          <w:p w:rsidR="00831BBB" w:rsidRPr="00D423B2" w:rsidRDefault="00831BBB" w:rsidP="00831BBB">
            <w:pPr>
              <w:autoSpaceDE w:val="0"/>
              <w:autoSpaceDN w:val="0"/>
              <w:adjustRightInd w:val="0"/>
              <w:jc w:val="right"/>
              <w:outlineLvl w:val="3"/>
              <w:rPr>
                <w:rFonts w:ascii="Times New Roman" w:eastAsia="Times New Roman" w:hAnsi="Times New Roman" w:cs="Times New Roman"/>
                <w:sz w:val="24"/>
                <w:szCs w:val="24"/>
                <w:lang w:eastAsia="ru-RU"/>
              </w:rPr>
            </w:pPr>
          </w:p>
          <w:p w:rsidR="00831BBB" w:rsidRPr="00D423B2" w:rsidRDefault="002A0C6A" w:rsidP="00831BBB">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Таблица </w:t>
            </w:r>
            <w:r w:rsidR="00831BBB" w:rsidRPr="00D423B2">
              <w:rPr>
                <w:rFonts w:ascii="Times New Roman" w:eastAsia="Times New Roman" w:hAnsi="Times New Roman" w:cs="Times New Roman"/>
                <w:sz w:val="24"/>
                <w:szCs w:val="24"/>
                <w:lang w:eastAsia="ru-RU"/>
              </w:rPr>
              <w:t xml:space="preserve"> 3</w:t>
            </w:r>
          </w:p>
          <w:p w:rsidR="00831BBB" w:rsidRPr="00D423B2" w:rsidRDefault="00831BBB" w:rsidP="00831BBB">
            <w:pPr>
              <w:autoSpaceDE w:val="0"/>
              <w:autoSpaceDN w:val="0"/>
              <w:adjustRightInd w:val="0"/>
              <w:jc w:val="center"/>
              <w:rPr>
                <w:rFonts w:ascii="Times New Roman" w:eastAsia="Times New Roman" w:hAnsi="Times New Roman" w:cs="Times New Roman"/>
                <w:sz w:val="24"/>
                <w:szCs w:val="24"/>
                <w:lang w:eastAsia="ru-RU"/>
              </w:rPr>
            </w:pPr>
          </w:p>
          <w:p w:rsidR="000577DF" w:rsidRPr="000577DF" w:rsidRDefault="000577DF" w:rsidP="000577DF">
            <w:pPr>
              <w:autoSpaceDE w:val="0"/>
              <w:autoSpaceDN w:val="0"/>
              <w:adjustRightInd w:val="0"/>
              <w:jc w:val="center"/>
              <w:rPr>
                <w:rFonts w:ascii="Times New Roman" w:eastAsia="Times New Roman" w:hAnsi="Times New Roman" w:cs="Times New Roman"/>
                <w:sz w:val="24"/>
                <w:szCs w:val="24"/>
                <w:lang w:eastAsia="ru-RU"/>
              </w:rPr>
            </w:pPr>
            <w:r w:rsidRPr="000577DF">
              <w:rPr>
                <w:rFonts w:ascii="Times New Roman" w:eastAsia="Times New Roman" w:hAnsi="Times New Roman" w:cs="Times New Roman"/>
                <w:sz w:val="24"/>
                <w:szCs w:val="24"/>
                <w:lang w:eastAsia="ru-RU"/>
              </w:rPr>
              <w:t>Состояние воспроизводства запасов нефти</w:t>
            </w:r>
          </w:p>
          <w:p w:rsidR="000577DF" w:rsidRPr="000577DF" w:rsidRDefault="000577DF" w:rsidP="000577DF">
            <w:pPr>
              <w:autoSpaceDE w:val="0"/>
              <w:autoSpaceDN w:val="0"/>
              <w:adjustRightInd w:val="0"/>
              <w:jc w:val="center"/>
              <w:rPr>
                <w:rFonts w:ascii="Times New Roman" w:eastAsia="Times New Roman" w:hAnsi="Times New Roman" w:cs="Times New Roman"/>
                <w:sz w:val="24"/>
                <w:szCs w:val="24"/>
                <w:lang w:eastAsia="ru-RU"/>
              </w:rPr>
            </w:pPr>
            <w:r w:rsidRPr="000577DF">
              <w:rPr>
                <w:rFonts w:ascii="Times New Roman" w:eastAsia="Times New Roman" w:hAnsi="Times New Roman" w:cs="Times New Roman"/>
                <w:sz w:val="24"/>
                <w:szCs w:val="24"/>
                <w:lang w:eastAsia="ru-RU"/>
              </w:rPr>
              <w:t>в Российской Федерации за 2012 – 2018 годы</w:t>
            </w:r>
          </w:p>
          <w:p w:rsidR="00A66896" w:rsidRPr="00D423B2" w:rsidRDefault="00A66896" w:rsidP="000577DF">
            <w:pPr>
              <w:autoSpaceDE w:val="0"/>
              <w:autoSpaceDN w:val="0"/>
              <w:adjustRightInd w:val="0"/>
              <w:jc w:val="both"/>
              <w:rPr>
                <w:rFonts w:ascii="Times New Roman" w:eastAsia="Times New Roman" w:hAnsi="Times New Roman" w:cs="Times New Roman"/>
                <w:sz w:val="24"/>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1753"/>
              <w:gridCol w:w="459"/>
              <w:gridCol w:w="459"/>
              <w:gridCol w:w="459"/>
              <w:gridCol w:w="459"/>
              <w:gridCol w:w="459"/>
              <w:gridCol w:w="460"/>
              <w:gridCol w:w="511"/>
            </w:tblGrid>
            <w:tr w:rsidR="00343C30" w:rsidRPr="00343C30" w:rsidTr="00062936">
              <w:trPr>
                <w:jc w:val="center"/>
              </w:trPr>
              <w:tc>
                <w:tcPr>
                  <w:tcW w:w="1746"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Наименование показателя / годы</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2012</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2013</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2014</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2015</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2016</w:t>
                  </w:r>
                </w:p>
              </w:tc>
              <w:tc>
                <w:tcPr>
                  <w:tcW w:w="458"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2017</w:t>
                  </w:r>
                </w:p>
              </w:tc>
              <w:tc>
                <w:tcPr>
                  <w:tcW w:w="509"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2018</w:t>
                  </w:r>
                </w:p>
              </w:tc>
            </w:tr>
            <w:tr w:rsidR="00343C30" w:rsidRPr="00343C30" w:rsidTr="00062936">
              <w:trPr>
                <w:jc w:val="center"/>
              </w:trPr>
              <w:tc>
                <w:tcPr>
                  <w:tcW w:w="1746"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Прирост запасов нефти, млн тонн</w:t>
                  </w:r>
                </w:p>
              </w:tc>
              <w:tc>
                <w:tcPr>
                  <w:tcW w:w="457"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588,4</w:t>
                  </w:r>
                </w:p>
              </w:tc>
              <w:tc>
                <w:tcPr>
                  <w:tcW w:w="457"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581,9</w:t>
                  </w:r>
                </w:p>
              </w:tc>
              <w:tc>
                <w:tcPr>
                  <w:tcW w:w="457"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587,9</w:t>
                  </w:r>
                </w:p>
              </w:tc>
              <w:tc>
                <w:tcPr>
                  <w:tcW w:w="457"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571,4</w:t>
                  </w:r>
                </w:p>
              </w:tc>
              <w:tc>
                <w:tcPr>
                  <w:tcW w:w="457"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503,7</w:t>
                  </w:r>
                </w:p>
              </w:tc>
              <w:tc>
                <w:tcPr>
                  <w:tcW w:w="458" w:type="pct"/>
                  <w:vAlign w:val="center"/>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499,3</w:t>
                  </w:r>
                </w:p>
              </w:tc>
              <w:tc>
                <w:tcPr>
                  <w:tcW w:w="509" w:type="pct"/>
                  <w:vAlign w:val="center"/>
                </w:tcPr>
                <w:p w:rsidR="00343C30" w:rsidRPr="00343C30" w:rsidRDefault="00343C30" w:rsidP="00343C30">
                  <w:pPr>
                    <w:pStyle w:val="ConsPlusNormal"/>
                    <w:spacing w:before="60" w:after="60"/>
                    <w:ind w:left="-14" w:right="-2"/>
                    <w:jc w:val="center"/>
                    <w:rPr>
                      <w:rFonts w:ascii="Times New Roman" w:hAnsi="Times New Roman" w:cs="Times New Roman"/>
                      <w:sz w:val="16"/>
                      <w:szCs w:val="16"/>
                    </w:rPr>
                  </w:pPr>
                  <w:r w:rsidRPr="00343C30">
                    <w:rPr>
                      <w:rFonts w:ascii="Times New Roman" w:hAnsi="Times New Roman" w:cs="Times New Roman"/>
                      <w:sz w:val="16"/>
                      <w:szCs w:val="16"/>
                    </w:rPr>
                    <w:t>530</w:t>
                  </w:r>
                </w:p>
                <w:p w:rsidR="00343C30" w:rsidRPr="00343C30" w:rsidRDefault="00343C30" w:rsidP="00343C30">
                  <w:pPr>
                    <w:pStyle w:val="ConsPlusNormal"/>
                    <w:spacing w:before="60" w:after="60"/>
                    <w:ind w:left="-14" w:right="-2"/>
                    <w:jc w:val="center"/>
                    <w:rPr>
                      <w:rFonts w:ascii="Times New Roman" w:hAnsi="Times New Roman" w:cs="Times New Roman"/>
                      <w:sz w:val="16"/>
                      <w:szCs w:val="16"/>
                    </w:rPr>
                  </w:pPr>
                  <w:r w:rsidRPr="00343C30">
                    <w:rPr>
                      <w:rFonts w:ascii="Times New Roman" w:hAnsi="Times New Roman" w:cs="Times New Roman"/>
                      <w:sz w:val="16"/>
                      <w:szCs w:val="16"/>
                    </w:rPr>
                    <w:t>(оценка)</w:t>
                  </w:r>
                </w:p>
              </w:tc>
            </w:tr>
            <w:tr w:rsidR="00343C30" w:rsidRPr="00343C30" w:rsidTr="00062936">
              <w:trPr>
                <w:jc w:val="center"/>
              </w:trPr>
              <w:tc>
                <w:tcPr>
                  <w:tcW w:w="1746" w:type="pct"/>
                </w:tcPr>
                <w:p w:rsidR="00343C30" w:rsidRPr="00343C30" w:rsidRDefault="00343C30" w:rsidP="00343C30">
                  <w:pPr>
                    <w:pStyle w:val="ConsPlusNormal"/>
                    <w:spacing w:before="60" w:after="60"/>
                    <w:rPr>
                      <w:rFonts w:ascii="Times New Roman" w:hAnsi="Times New Roman" w:cs="Times New Roman"/>
                      <w:sz w:val="16"/>
                      <w:szCs w:val="16"/>
                    </w:rPr>
                  </w:pPr>
                  <w:r w:rsidRPr="00343C30">
                    <w:rPr>
                      <w:rFonts w:ascii="Times New Roman" w:hAnsi="Times New Roman" w:cs="Times New Roman"/>
                      <w:sz w:val="16"/>
                      <w:szCs w:val="16"/>
                    </w:rPr>
                    <w:t>Добыча нефти, млн тонн</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518,0</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523,4</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526,7</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533,6</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547,3</w:t>
                  </w:r>
                </w:p>
              </w:tc>
              <w:tc>
                <w:tcPr>
                  <w:tcW w:w="458"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546,7</w:t>
                  </w:r>
                </w:p>
              </w:tc>
              <w:tc>
                <w:tcPr>
                  <w:tcW w:w="509"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555,8</w:t>
                  </w:r>
                </w:p>
              </w:tc>
            </w:tr>
            <w:tr w:rsidR="00343C30" w:rsidRPr="00343C30" w:rsidTr="00062936">
              <w:trPr>
                <w:jc w:val="center"/>
              </w:trPr>
              <w:tc>
                <w:tcPr>
                  <w:tcW w:w="1746" w:type="pct"/>
                </w:tcPr>
                <w:p w:rsidR="00343C30" w:rsidRPr="00343C30" w:rsidRDefault="00343C30" w:rsidP="00343C30">
                  <w:pPr>
                    <w:pStyle w:val="ConsPlusNormal"/>
                    <w:spacing w:before="60" w:after="60"/>
                    <w:rPr>
                      <w:rFonts w:ascii="Times New Roman" w:hAnsi="Times New Roman" w:cs="Times New Roman"/>
                      <w:sz w:val="16"/>
                      <w:szCs w:val="16"/>
                    </w:rPr>
                  </w:pPr>
                  <w:r w:rsidRPr="00343C30">
                    <w:rPr>
                      <w:rFonts w:ascii="Times New Roman" w:hAnsi="Times New Roman" w:cs="Times New Roman"/>
                      <w:sz w:val="16"/>
                      <w:szCs w:val="16"/>
                    </w:rPr>
                    <w:t>Воспроизводство минерально-сырьевой базы, %</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113</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111</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111</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107</w:t>
                  </w:r>
                </w:p>
              </w:tc>
              <w:tc>
                <w:tcPr>
                  <w:tcW w:w="457"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92</w:t>
                  </w:r>
                </w:p>
              </w:tc>
              <w:tc>
                <w:tcPr>
                  <w:tcW w:w="458"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91</w:t>
                  </w:r>
                </w:p>
              </w:tc>
              <w:tc>
                <w:tcPr>
                  <w:tcW w:w="509" w:type="pct"/>
                </w:tcPr>
                <w:p w:rsidR="00343C30" w:rsidRPr="00343C30" w:rsidRDefault="00343C30" w:rsidP="00343C30">
                  <w:pPr>
                    <w:pStyle w:val="ConsPlusNormal"/>
                    <w:spacing w:before="60" w:after="60"/>
                    <w:jc w:val="center"/>
                    <w:rPr>
                      <w:rFonts w:ascii="Times New Roman" w:hAnsi="Times New Roman" w:cs="Times New Roman"/>
                      <w:sz w:val="16"/>
                      <w:szCs w:val="16"/>
                    </w:rPr>
                  </w:pPr>
                  <w:r w:rsidRPr="00343C30">
                    <w:rPr>
                      <w:rFonts w:ascii="Times New Roman" w:hAnsi="Times New Roman" w:cs="Times New Roman"/>
                      <w:sz w:val="16"/>
                      <w:szCs w:val="16"/>
                    </w:rPr>
                    <w:t>95</w:t>
                  </w:r>
                </w:p>
              </w:tc>
            </w:tr>
          </w:tbl>
          <w:p w:rsidR="00343C30" w:rsidRDefault="00343C30" w:rsidP="005C30CB">
            <w:pPr>
              <w:autoSpaceDE w:val="0"/>
              <w:autoSpaceDN w:val="0"/>
              <w:adjustRightInd w:val="0"/>
              <w:ind w:firstLine="709"/>
              <w:jc w:val="both"/>
              <w:rPr>
                <w:rFonts w:ascii="Times New Roman" w:eastAsia="Times New Roman" w:hAnsi="Times New Roman" w:cs="Times New Roman"/>
                <w:sz w:val="24"/>
                <w:szCs w:val="24"/>
                <w:lang w:eastAsia="ru-RU"/>
              </w:rPr>
            </w:pPr>
          </w:p>
          <w:p w:rsidR="003C6F1A" w:rsidRPr="003C6F1A" w:rsidRDefault="003C6F1A" w:rsidP="003C6F1A">
            <w:pPr>
              <w:autoSpaceDE w:val="0"/>
              <w:autoSpaceDN w:val="0"/>
              <w:adjustRightInd w:val="0"/>
              <w:ind w:firstLine="709"/>
              <w:jc w:val="both"/>
              <w:rPr>
                <w:rFonts w:ascii="Times New Roman" w:eastAsia="Times New Roman" w:hAnsi="Times New Roman" w:cs="Times New Roman"/>
                <w:sz w:val="24"/>
                <w:szCs w:val="24"/>
                <w:lang w:eastAsia="ru-RU"/>
              </w:rPr>
            </w:pPr>
            <w:r w:rsidRPr="003C6F1A">
              <w:rPr>
                <w:rFonts w:ascii="Times New Roman" w:eastAsia="Times New Roman" w:hAnsi="Times New Roman" w:cs="Times New Roman"/>
                <w:sz w:val="24"/>
                <w:szCs w:val="24"/>
                <w:lang w:eastAsia="ru-RU"/>
              </w:rPr>
              <w:t>С 2010 года добыча нефти в Российской Федерации выросла на 10 процентов и в 2018 году составила 555,8 млн тонн (при этом максимальный среднесуточный уровень нефтедобычи превысил уровень, достигнутый в СССР).</w:t>
            </w:r>
          </w:p>
          <w:p w:rsidR="003C6F1A" w:rsidRPr="003C6F1A" w:rsidRDefault="003C6F1A" w:rsidP="003C6F1A">
            <w:pPr>
              <w:autoSpaceDE w:val="0"/>
              <w:autoSpaceDN w:val="0"/>
              <w:adjustRightInd w:val="0"/>
              <w:ind w:firstLine="709"/>
              <w:jc w:val="both"/>
              <w:rPr>
                <w:rFonts w:ascii="Times New Roman" w:eastAsia="Times New Roman" w:hAnsi="Times New Roman" w:cs="Times New Roman"/>
                <w:sz w:val="24"/>
                <w:szCs w:val="24"/>
                <w:lang w:eastAsia="ru-RU"/>
              </w:rPr>
            </w:pPr>
            <w:r w:rsidRPr="003C6F1A">
              <w:rPr>
                <w:rFonts w:ascii="Times New Roman" w:eastAsia="Times New Roman" w:hAnsi="Times New Roman" w:cs="Times New Roman"/>
                <w:sz w:val="24"/>
                <w:szCs w:val="24"/>
                <w:lang w:eastAsia="ru-RU"/>
              </w:rPr>
              <w:t>Резервом дальнейшего развития нефтедобычи в стране, восполнения сырьевой базы нефти и газа является увеличение масштабов внедрения методов увеличения нефтеотдачи (далее – МУН) и вовлечение в разработку запасов высоковязкой нефти (далее – ВВН), сверхвысоковязкой нефти (далее – СВН), а также запасов в слабопроницаемых коллекторах.</w:t>
            </w:r>
          </w:p>
          <w:p w:rsidR="003C6F1A" w:rsidRPr="003C6F1A" w:rsidRDefault="003C6F1A" w:rsidP="003C6F1A">
            <w:pPr>
              <w:autoSpaceDE w:val="0"/>
              <w:autoSpaceDN w:val="0"/>
              <w:adjustRightInd w:val="0"/>
              <w:ind w:firstLine="709"/>
              <w:jc w:val="both"/>
              <w:rPr>
                <w:rFonts w:ascii="Times New Roman" w:eastAsia="Times New Roman" w:hAnsi="Times New Roman" w:cs="Times New Roman"/>
                <w:sz w:val="24"/>
                <w:szCs w:val="24"/>
                <w:lang w:eastAsia="ru-RU"/>
              </w:rPr>
            </w:pPr>
            <w:r w:rsidRPr="003C6F1A">
              <w:rPr>
                <w:rFonts w:ascii="Times New Roman" w:eastAsia="Times New Roman" w:hAnsi="Times New Roman" w:cs="Times New Roman"/>
                <w:sz w:val="24"/>
                <w:szCs w:val="24"/>
                <w:lang w:eastAsia="ru-RU"/>
              </w:rPr>
              <w:t>Повышение степени КИН в отечественной нефтяной промышленности рассматривается в качестве главного источника поддержания уровня добычи в России.</w:t>
            </w:r>
          </w:p>
          <w:p w:rsidR="003C6F1A" w:rsidRPr="003C6F1A" w:rsidRDefault="003C6F1A" w:rsidP="003C6F1A">
            <w:pPr>
              <w:autoSpaceDE w:val="0"/>
              <w:autoSpaceDN w:val="0"/>
              <w:adjustRightInd w:val="0"/>
              <w:ind w:firstLine="709"/>
              <w:jc w:val="both"/>
              <w:rPr>
                <w:rFonts w:ascii="Times New Roman" w:eastAsia="Times New Roman" w:hAnsi="Times New Roman" w:cs="Times New Roman"/>
                <w:sz w:val="24"/>
                <w:szCs w:val="24"/>
                <w:lang w:eastAsia="ru-RU"/>
              </w:rPr>
            </w:pPr>
            <w:r w:rsidRPr="003C6F1A">
              <w:rPr>
                <w:rFonts w:ascii="Times New Roman" w:eastAsia="Times New Roman" w:hAnsi="Times New Roman" w:cs="Times New Roman"/>
                <w:sz w:val="24"/>
                <w:szCs w:val="24"/>
                <w:lang w:eastAsia="ru-RU"/>
              </w:rPr>
              <w:lastRenderedPageBreak/>
              <w:t>В Республике Татарстан в 2018 году по терригенным объектам разработки на месторождениях ПАО «Татнефть» коэффициент извлечения нефти (далее – КИН) достиг показателя 0,49.</w:t>
            </w:r>
          </w:p>
          <w:p w:rsidR="006A4859" w:rsidRPr="00D423B2" w:rsidRDefault="006A4859" w:rsidP="005C30CB">
            <w:pPr>
              <w:autoSpaceDE w:val="0"/>
              <w:autoSpaceDN w:val="0"/>
              <w:adjustRightInd w:val="0"/>
              <w:ind w:firstLine="709"/>
              <w:jc w:val="both"/>
              <w:rPr>
                <w:rFonts w:ascii="TimesNewRomanPSMT" w:eastAsia="Times New Roman" w:hAnsi="TimesNewRomanPSMT" w:cs="TimesNewRomanPSMT"/>
                <w:sz w:val="24"/>
                <w:szCs w:val="24"/>
                <w:lang w:eastAsia="ru-RU"/>
              </w:rPr>
            </w:pPr>
          </w:p>
          <w:p w:rsidR="005C30CB" w:rsidRPr="00D423B2" w:rsidRDefault="006A4859" w:rsidP="00913BFC">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15BB288D" wp14:editId="480F6192">
                  <wp:extent cx="2590800" cy="120078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90800" cy="1200785"/>
                          </a:xfrm>
                          <a:prstGeom prst="rect">
                            <a:avLst/>
                          </a:prstGeom>
                          <a:noFill/>
                        </pic:spPr>
                      </pic:pic>
                    </a:graphicData>
                  </a:graphic>
                </wp:inline>
              </w:drawing>
            </w:r>
          </w:p>
          <w:p w:rsidR="00420E70" w:rsidRPr="00D423B2" w:rsidRDefault="00420E70" w:rsidP="00913BFC">
            <w:pPr>
              <w:autoSpaceDE w:val="0"/>
              <w:autoSpaceDN w:val="0"/>
              <w:adjustRightInd w:val="0"/>
              <w:ind w:firstLine="540"/>
              <w:jc w:val="center"/>
              <w:rPr>
                <w:rFonts w:ascii="Times New Roman" w:eastAsia="Times New Roman" w:hAnsi="Times New Roman" w:cs="Times New Roman"/>
                <w:sz w:val="16"/>
                <w:szCs w:val="16"/>
                <w:lang w:eastAsia="ru-RU"/>
              </w:rPr>
            </w:pPr>
          </w:p>
          <w:p w:rsidR="00833F34" w:rsidRPr="00833F34" w:rsidRDefault="00833F34" w:rsidP="00833F34">
            <w:pPr>
              <w:autoSpaceDE w:val="0"/>
              <w:autoSpaceDN w:val="0"/>
              <w:adjustRightInd w:val="0"/>
              <w:ind w:firstLine="540"/>
              <w:jc w:val="center"/>
              <w:rPr>
                <w:rFonts w:ascii="Times New Roman" w:eastAsia="Times New Roman" w:hAnsi="Times New Roman" w:cs="Times New Roman"/>
                <w:sz w:val="16"/>
                <w:szCs w:val="16"/>
                <w:lang w:eastAsia="ru-RU"/>
              </w:rPr>
            </w:pPr>
            <w:r w:rsidRPr="00833F34">
              <w:rPr>
                <w:rFonts w:ascii="Times New Roman" w:eastAsia="Times New Roman" w:hAnsi="Times New Roman" w:cs="Times New Roman"/>
                <w:sz w:val="16"/>
                <w:szCs w:val="16"/>
                <w:lang w:eastAsia="ru-RU"/>
              </w:rPr>
              <w:t>Рис. 2. Значения коэффициентов извлечения нефти (текущий и конечный/проектный) для различных типов коллекторов ПАО «Татнефть» по состоянию на 1 января 2018 года</w:t>
            </w:r>
          </w:p>
          <w:p w:rsidR="00913BFC" w:rsidRPr="00D423B2" w:rsidRDefault="00913BFC" w:rsidP="00913BFC">
            <w:pPr>
              <w:jc w:val="center"/>
              <w:rPr>
                <w:rFonts w:ascii="Times New Roman" w:hAnsi="Times New Roman" w:cs="Times New Roman"/>
                <w:sz w:val="24"/>
                <w:szCs w:val="24"/>
              </w:rPr>
            </w:pP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По месторождениям малых нефтедобывающих компаний текущий КИН составляет 0,096 при проектных КИН 0,303.</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Причинами снижения КИН являются:</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неадекватный реальному геологическому строению подбор технологий разработки и методов увеличения нефтеотдачи пластов;</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разбалансирование систем разработки за счет вывода из эксплуатации огромного (до 50 процентов и более) эксплуатационного фонда скважин в некоторых нефтяных компаниях;</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опережающая выработка наиболее продуктивных пластов в целях получения максимальной прибыли при наименьших затратах;</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резкое сокращение применения МУН пластов и поиска новых эффективных технологий увеличения КИН;</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lastRenderedPageBreak/>
              <w:t>отсутствие мер налогового стимулирования;</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капиталоемкие проекты, направленные на увеличение коэффициента охвата залежей и интенсификацию отборов.</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В современных условиях все более актуальным становится не абсолютный рост добычи, а экономика ее добычи, обеспечение углубленного передела углеводородного сырья внутри страны на предприятиях нефтепереработки и нефтехимии.</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В Республике Татарстан по состоянию на 1 января 2019 года в Государственном балансе запасов по компании ПАО «Татнефть» учтены</w:t>
            </w:r>
            <w:r w:rsidRPr="00641F0C">
              <w:rPr>
                <w:rFonts w:ascii="TimesNewRomanPSMT" w:eastAsia="Times New Roman" w:hAnsi="TimesNewRomanPSMT" w:cs="TimesNewRomanPSMT"/>
                <w:sz w:val="24"/>
                <w:szCs w:val="24"/>
                <w:lang w:eastAsia="ru-RU"/>
              </w:rPr>
              <w:br/>
              <w:t>105 нефтяных месторождений с суммарными извлекаемыми запасами нефти категории А+В1+С1+В2+С2 в размере 758,065 млн тонн. Объем предварительно оцененных запасов категории В2+С2 – 153,535 млн тонн, ресурсов категории</w:t>
            </w:r>
            <w:r w:rsidRPr="00641F0C">
              <w:rPr>
                <w:rFonts w:ascii="TimesNewRomanPSMT" w:eastAsia="Times New Roman" w:hAnsi="TimesNewRomanPSMT" w:cs="TimesNewRomanPSMT"/>
                <w:sz w:val="24"/>
                <w:szCs w:val="24"/>
                <w:lang w:eastAsia="ru-RU"/>
              </w:rPr>
              <w:br/>
              <w:t>Д0+Д1 – 484,883 млн тонн. Накопленная добыча нефти по республике по ПАО «Татнефть» с момента начала промышленной разработки нефтяных месторождений составила 3 154,963 млн тонн.</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 xml:space="preserve">В Республике Татарстан по состоянию на 1 января 2019 года в Государственном балансе запасов по малым компаниям учтены 114 нефтяных месторождений с суммарными текущими извлекаемыми запасами нефти категории А+В1+С1+В2+С2 в размере 285,245 млн тонн. Объем предварительно оцененных запасов категории В2+С2 – 31,205 млн тонн, ресурсов категории Д0+Д1 – </w:t>
            </w:r>
            <w:r w:rsidRPr="00641F0C">
              <w:rPr>
                <w:rFonts w:ascii="TimesNewRomanPSMT" w:eastAsia="Times New Roman" w:hAnsi="TimesNewRomanPSMT" w:cs="TimesNewRomanPSMT"/>
                <w:sz w:val="24"/>
                <w:szCs w:val="24"/>
                <w:lang w:eastAsia="ru-RU"/>
              </w:rPr>
              <w:br/>
              <w:t xml:space="preserve">33,155 млн тонн. Накопленная добыча нефти </w:t>
            </w:r>
            <w:r w:rsidRPr="00641F0C">
              <w:rPr>
                <w:rFonts w:ascii="TimesNewRomanPSMT" w:eastAsia="Times New Roman" w:hAnsi="TimesNewRomanPSMT" w:cs="TimesNewRomanPSMT"/>
                <w:sz w:val="24"/>
                <w:szCs w:val="24"/>
                <w:lang w:eastAsia="ru-RU"/>
              </w:rPr>
              <w:lastRenderedPageBreak/>
              <w:t>малыми компаниями по республике с момента начала промышленной разработки нефтяных месторождений составила 132,746 млн тонн.</w:t>
            </w:r>
          </w:p>
          <w:p w:rsidR="00641F0C" w:rsidRPr="00641F0C" w:rsidRDefault="00641F0C" w:rsidP="00641F0C">
            <w:pPr>
              <w:autoSpaceDE w:val="0"/>
              <w:autoSpaceDN w:val="0"/>
              <w:adjustRightInd w:val="0"/>
              <w:ind w:firstLine="709"/>
              <w:jc w:val="both"/>
              <w:rPr>
                <w:rFonts w:ascii="TimesNewRomanPSMT" w:eastAsia="Times New Roman" w:hAnsi="TimesNewRomanPSMT" w:cs="TimesNewRomanPSMT"/>
                <w:sz w:val="24"/>
                <w:szCs w:val="24"/>
                <w:lang w:eastAsia="ru-RU"/>
              </w:rPr>
            </w:pPr>
            <w:r w:rsidRPr="00641F0C">
              <w:rPr>
                <w:rFonts w:ascii="TimesNewRomanPSMT" w:eastAsia="Times New Roman" w:hAnsi="TimesNewRomanPSMT" w:cs="TimesNewRomanPSMT"/>
                <w:sz w:val="24"/>
                <w:szCs w:val="24"/>
                <w:lang w:eastAsia="ru-RU"/>
              </w:rPr>
              <w:t>По оценке независимой компании «Миллер энд Ленц, Лтд.», по состоянию на 1 января 2019 года подтвержденный объем запасов промышленных категорий по ПАО «Татнефть» составляет 924,9 млн тонн.</w:t>
            </w:r>
          </w:p>
          <w:p w:rsidR="00975C88" w:rsidRPr="00D423B2" w:rsidRDefault="00975C88" w:rsidP="006748F0">
            <w:pPr>
              <w:autoSpaceDE w:val="0"/>
              <w:autoSpaceDN w:val="0"/>
              <w:adjustRightInd w:val="0"/>
              <w:ind w:firstLine="709"/>
              <w:jc w:val="both"/>
              <w:rPr>
                <w:rFonts w:ascii="TimesNewRomanPSMT" w:eastAsia="Times New Roman" w:hAnsi="TimesNewRomanPSMT" w:cs="TimesNewRomanPSMT"/>
                <w:sz w:val="24"/>
                <w:szCs w:val="24"/>
                <w:lang w:eastAsia="ru-RU"/>
              </w:rPr>
            </w:pPr>
          </w:p>
          <w:p w:rsidR="006748F0" w:rsidRPr="00D423B2" w:rsidRDefault="00975C88" w:rsidP="00913BFC">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111EE84C" wp14:editId="69C25F4F">
                  <wp:extent cx="2847340" cy="12255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47340" cy="1225550"/>
                          </a:xfrm>
                          <a:prstGeom prst="rect">
                            <a:avLst/>
                          </a:prstGeom>
                          <a:noFill/>
                        </pic:spPr>
                      </pic:pic>
                    </a:graphicData>
                  </a:graphic>
                </wp:inline>
              </w:drawing>
            </w:r>
          </w:p>
          <w:p w:rsidR="000D6F07" w:rsidRPr="00D423B2" w:rsidRDefault="000D6F07" w:rsidP="00913BFC">
            <w:pPr>
              <w:jc w:val="center"/>
              <w:rPr>
                <w:rFonts w:ascii="Times New Roman" w:hAnsi="Times New Roman" w:cs="Times New Roman"/>
                <w:sz w:val="24"/>
                <w:szCs w:val="24"/>
              </w:rPr>
            </w:pPr>
          </w:p>
          <w:p w:rsidR="00703104" w:rsidRPr="00703104" w:rsidRDefault="00703104" w:rsidP="00703104">
            <w:pPr>
              <w:autoSpaceDE w:val="0"/>
              <w:autoSpaceDN w:val="0"/>
              <w:adjustRightInd w:val="0"/>
              <w:jc w:val="center"/>
              <w:rPr>
                <w:rFonts w:ascii="Times New Roman" w:eastAsia="Times New Roman" w:hAnsi="Times New Roman" w:cs="Times New Roman"/>
                <w:sz w:val="16"/>
                <w:szCs w:val="16"/>
                <w:lang w:eastAsia="ru-RU"/>
              </w:rPr>
            </w:pPr>
            <w:r w:rsidRPr="00703104">
              <w:rPr>
                <w:rFonts w:ascii="Times New Roman" w:eastAsia="Times New Roman" w:hAnsi="Times New Roman" w:cs="Times New Roman"/>
                <w:sz w:val="16"/>
                <w:szCs w:val="16"/>
                <w:lang w:eastAsia="ru-RU"/>
              </w:rPr>
              <w:t>Рис. 3. Распределение добычи нефти ПАО «Татнефть» по выработанности месторождений</w:t>
            </w:r>
          </w:p>
          <w:p w:rsidR="000D6F07" w:rsidRPr="00D423B2" w:rsidRDefault="000D6F07" w:rsidP="00913BFC">
            <w:pPr>
              <w:jc w:val="center"/>
              <w:rPr>
                <w:rFonts w:ascii="Times New Roman" w:hAnsi="Times New Roman" w:cs="Times New Roman"/>
                <w:sz w:val="24"/>
                <w:szCs w:val="24"/>
              </w:rPr>
            </w:pPr>
          </w:p>
          <w:p w:rsidR="003857EE" w:rsidRPr="00D423B2" w:rsidRDefault="003857EE" w:rsidP="00913BFC">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60CF4046" wp14:editId="09E1B0D3">
                  <wp:extent cx="2651760" cy="14573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51760" cy="1457325"/>
                          </a:xfrm>
                          <a:prstGeom prst="rect">
                            <a:avLst/>
                          </a:prstGeom>
                          <a:noFill/>
                        </pic:spPr>
                      </pic:pic>
                    </a:graphicData>
                  </a:graphic>
                </wp:inline>
              </w:drawing>
            </w:r>
          </w:p>
          <w:p w:rsidR="00703104" w:rsidRPr="00703104" w:rsidRDefault="00703104" w:rsidP="00703104">
            <w:pPr>
              <w:autoSpaceDE w:val="0"/>
              <w:autoSpaceDN w:val="0"/>
              <w:adjustRightInd w:val="0"/>
              <w:jc w:val="center"/>
              <w:rPr>
                <w:rFonts w:ascii="Times New Roman" w:eastAsia="Times New Roman" w:hAnsi="Times New Roman" w:cs="Times New Roman"/>
                <w:sz w:val="16"/>
                <w:szCs w:val="16"/>
                <w:lang w:eastAsia="ru-RU"/>
              </w:rPr>
            </w:pPr>
            <w:r w:rsidRPr="00703104">
              <w:rPr>
                <w:rFonts w:ascii="Times New Roman" w:eastAsia="Times New Roman" w:hAnsi="Times New Roman" w:cs="Times New Roman"/>
                <w:sz w:val="16"/>
                <w:szCs w:val="16"/>
                <w:lang w:eastAsia="ru-RU"/>
              </w:rPr>
              <w:t xml:space="preserve">Рис. 4. Структура извлекаемых запасов нефти категории А+В1+С1 </w:t>
            </w:r>
            <w:r w:rsidRPr="00703104">
              <w:rPr>
                <w:rFonts w:ascii="Times New Roman" w:eastAsia="Times New Roman" w:hAnsi="Times New Roman" w:cs="Times New Roman"/>
                <w:sz w:val="16"/>
                <w:szCs w:val="16"/>
                <w:lang w:eastAsia="ru-RU"/>
              </w:rPr>
              <w:br/>
              <w:t>по месторождениям ПАО «Татнефть» по состоянию на 1 января 2019 года</w:t>
            </w:r>
          </w:p>
          <w:p w:rsidR="007465CF" w:rsidRDefault="007465CF" w:rsidP="003857EE">
            <w:pPr>
              <w:autoSpaceDE w:val="0"/>
              <w:autoSpaceDN w:val="0"/>
              <w:adjustRightInd w:val="0"/>
              <w:jc w:val="center"/>
              <w:rPr>
                <w:rFonts w:ascii="Times New Roman" w:eastAsia="Times New Roman" w:hAnsi="Times New Roman" w:cs="Times New Roman"/>
                <w:sz w:val="16"/>
                <w:szCs w:val="16"/>
                <w:lang w:eastAsia="ru-RU"/>
              </w:rPr>
            </w:pPr>
          </w:p>
          <w:p w:rsidR="00BD1675" w:rsidRDefault="00BD1675" w:rsidP="003857EE">
            <w:pPr>
              <w:autoSpaceDE w:val="0"/>
              <w:autoSpaceDN w:val="0"/>
              <w:adjustRightInd w:val="0"/>
              <w:jc w:val="center"/>
              <w:rPr>
                <w:rFonts w:ascii="Times New Roman" w:eastAsia="Times New Roman" w:hAnsi="Times New Roman" w:cs="Times New Roman"/>
                <w:sz w:val="16"/>
                <w:szCs w:val="16"/>
                <w:lang w:eastAsia="ru-RU"/>
              </w:rPr>
            </w:pPr>
          </w:p>
          <w:p w:rsidR="00BD1675" w:rsidRDefault="00BD1675" w:rsidP="003857EE">
            <w:pPr>
              <w:autoSpaceDE w:val="0"/>
              <w:autoSpaceDN w:val="0"/>
              <w:adjustRightInd w:val="0"/>
              <w:jc w:val="center"/>
              <w:rPr>
                <w:rFonts w:ascii="Times New Roman" w:eastAsia="Times New Roman" w:hAnsi="Times New Roman" w:cs="Times New Roman"/>
                <w:sz w:val="16"/>
                <w:szCs w:val="16"/>
                <w:lang w:eastAsia="ru-RU"/>
              </w:rPr>
            </w:pPr>
          </w:p>
          <w:p w:rsidR="00BD1675" w:rsidRDefault="00BD1675" w:rsidP="003857EE">
            <w:pPr>
              <w:autoSpaceDE w:val="0"/>
              <w:autoSpaceDN w:val="0"/>
              <w:adjustRightInd w:val="0"/>
              <w:jc w:val="center"/>
              <w:rPr>
                <w:rFonts w:ascii="Times New Roman" w:eastAsia="Times New Roman" w:hAnsi="Times New Roman" w:cs="Times New Roman"/>
                <w:sz w:val="16"/>
                <w:szCs w:val="16"/>
                <w:lang w:eastAsia="ru-RU"/>
              </w:rPr>
            </w:pPr>
          </w:p>
          <w:p w:rsidR="00BD1675" w:rsidRDefault="00BD1675" w:rsidP="003857EE">
            <w:pPr>
              <w:autoSpaceDE w:val="0"/>
              <w:autoSpaceDN w:val="0"/>
              <w:adjustRightInd w:val="0"/>
              <w:jc w:val="center"/>
              <w:rPr>
                <w:rFonts w:ascii="Times New Roman" w:eastAsia="Times New Roman" w:hAnsi="Times New Roman" w:cs="Times New Roman"/>
                <w:sz w:val="16"/>
                <w:szCs w:val="16"/>
                <w:lang w:eastAsia="ru-RU"/>
              </w:rPr>
            </w:pPr>
          </w:p>
          <w:p w:rsidR="00BD1675" w:rsidRDefault="00BD1675" w:rsidP="003857EE">
            <w:pPr>
              <w:autoSpaceDE w:val="0"/>
              <w:autoSpaceDN w:val="0"/>
              <w:adjustRightInd w:val="0"/>
              <w:jc w:val="center"/>
              <w:rPr>
                <w:rFonts w:ascii="Times New Roman" w:eastAsia="Times New Roman" w:hAnsi="Times New Roman" w:cs="Times New Roman"/>
                <w:sz w:val="16"/>
                <w:szCs w:val="16"/>
                <w:lang w:eastAsia="ru-RU"/>
              </w:rPr>
            </w:pPr>
          </w:p>
          <w:p w:rsidR="00BD1675" w:rsidRDefault="00BD1675" w:rsidP="003857EE">
            <w:pPr>
              <w:autoSpaceDE w:val="0"/>
              <w:autoSpaceDN w:val="0"/>
              <w:adjustRightInd w:val="0"/>
              <w:jc w:val="center"/>
              <w:rPr>
                <w:rFonts w:ascii="Times New Roman" w:eastAsia="Times New Roman" w:hAnsi="Times New Roman" w:cs="Times New Roman"/>
                <w:sz w:val="16"/>
                <w:szCs w:val="16"/>
                <w:lang w:eastAsia="ru-RU"/>
              </w:rPr>
            </w:pPr>
          </w:p>
          <w:p w:rsidR="00BD1675" w:rsidRDefault="00BD1675" w:rsidP="003857EE">
            <w:pPr>
              <w:autoSpaceDE w:val="0"/>
              <w:autoSpaceDN w:val="0"/>
              <w:adjustRightInd w:val="0"/>
              <w:jc w:val="center"/>
              <w:rPr>
                <w:rFonts w:ascii="Times New Roman" w:eastAsia="Times New Roman" w:hAnsi="Times New Roman" w:cs="Times New Roman"/>
                <w:sz w:val="16"/>
                <w:szCs w:val="16"/>
                <w:lang w:eastAsia="ru-RU"/>
              </w:rPr>
            </w:pPr>
          </w:p>
          <w:p w:rsidR="00BD1675" w:rsidRPr="00D423B2" w:rsidRDefault="00BD1675" w:rsidP="003857EE">
            <w:pPr>
              <w:autoSpaceDE w:val="0"/>
              <w:autoSpaceDN w:val="0"/>
              <w:adjustRightInd w:val="0"/>
              <w:jc w:val="center"/>
              <w:rPr>
                <w:rFonts w:ascii="Times New Roman" w:eastAsia="Times New Roman" w:hAnsi="Times New Roman" w:cs="Times New Roman"/>
                <w:sz w:val="16"/>
                <w:szCs w:val="16"/>
                <w:lang w:eastAsia="ru-RU"/>
              </w:rPr>
            </w:pPr>
          </w:p>
          <w:p w:rsidR="007465CF" w:rsidRPr="00D423B2" w:rsidRDefault="00BD1675" w:rsidP="003857EE">
            <w:pPr>
              <w:autoSpaceDE w:val="0"/>
              <w:autoSpaceDN w:val="0"/>
              <w:adjustRightInd w:val="0"/>
              <w:jc w:val="center"/>
              <w:rPr>
                <w:rFonts w:ascii="Times New Roman" w:eastAsia="Times New Roman" w:hAnsi="Times New Roman" w:cs="Times New Roman"/>
                <w:sz w:val="16"/>
                <w:szCs w:val="16"/>
                <w:lang w:eastAsia="ru-RU"/>
              </w:rPr>
            </w:pPr>
            <w:r>
              <w:rPr>
                <w:rFonts w:ascii="Times New Roman" w:eastAsia="Times New Roman" w:hAnsi="Times New Roman" w:cs="Times New Roman"/>
                <w:noProof/>
                <w:sz w:val="16"/>
                <w:szCs w:val="16"/>
                <w:lang w:eastAsia="ru-RU"/>
              </w:rPr>
              <w:drawing>
                <wp:inline distT="0" distB="0" distL="0" distR="0" wp14:anchorId="641AF4F9">
                  <wp:extent cx="2632075" cy="1061085"/>
                  <wp:effectExtent l="0" t="0" r="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32075" cy="1061085"/>
                          </a:xfrm>
                          <a:prstGeom prst="rect">
                            <a:avLst/>
                          </a:prstGeom>
                          <a:noFill/>
                        </pic:spPr>
                      </pic:pic>
                    </a:graphicData>
                  </a:graphic>
                </wp:inline>
              </w:drawing>
            </w:r>
          </w:p>
          <w:p w:rsidR="00024CDF" w:rsidRDefault="00024CDF" w:rsidP="000E080B">
            <w:pPr>
              <w:autoSpaceDE w:val="0"/>
              <w:autoSpaceDN w:val="0"/>
              <w:adjustRightInd w:val="0"/>
              <w:jc w:val="center"/>
              <w:rPr>
                <w:rFonts w:ascii="Times New Roman" w:eastAsia="Times New Roman" w:hAnsi="Times New Roman" w:cs="Times New Roman"/>
                <w:sz w:val="16"/>
                <w:szCs w:val="16"/>
                <w:lang w:eastAsia="ru-RU"/>
              </w:rPr>
            </w:pPr>
          </w:p>
          <w:p w:rsidR="00BD1675" w:rsidRPr="00BD1675" w:rsidRDefault="00BD1675" w:rsidP="00BD1675">
            <w:pPr>
              <w:autoSpaceDE w:val="0"/>
              <w:autoSpaceDN w:val="0"/>
              <w:adjustRightInd w:val="0"/>
              <w:jc w:val="center"/>
              <w:rPr>
                <w:rFonts w:ascii="Times New Roman" w:eastAsia="Times New Roman" w:hAnsi="Times New Roman" w:cs="Times New Roman"/>
                <w:sz w:val="16"/>
                <w:szCs w:val="16"/>
                <w:lang w:eastAsia="ru-RU"/>
              </w:rPr>
            </w:pPr>
            <w:r w:rsidRPr="00BD1675">
              <w:rPr>
                <w:rFonts w:ascii="Times New Roman" w:eastAsia="Times New Roman" w:hAnsi="Times New Roman" w:cs="Times New Roman"/>
                <w:sz w:val="16"/>
                <w:szCs w:val="16"/>
                <w:lang w:eastAsia="ru-RU"/>
              </w:rPr>
              <w:t>Рис. 5. Структура извлекаемых запасов нефти категории А+В1+С1 по состоянию на 1 января 2019 года по малым нефтедобывающим компаниям Республики Татарстан</w:t>
            </w:r>
          </w:p>
          <w:p w:rsidR="000E080B" w:rsidRPr="00D423B2" w:rsidRDefault="000E080B" w:rsidP="00EA39C4">
            <w:pPr>
              <w:autoSpaceDE w:val="0"/>
              <w:autoSpaceDN w:val="0"/>
              <w:adjustRightInd w:val="0"/>
              <w:rPr>
                <w:rFonts w:ascii="Times New Roman" w:eastAsia="Times New Roman" w:hAnsi="Times New Roman" w:cs="Times New Roman"/>
                <w:sz w:val="28"/>
                <w:szCs w:val="28"/>
                <w:lang w:eastAsia="ru-RU"/>
              </w:rPr>
            </w:pPr>
          </w:p>
          <w:p w:rsidR="00EA39C4" w:rsidRPr="00EA39C4" w:rsidRDefault="00EA39C4" w:rsidP="00EA39C4">
            <w:pPr>
              <w:autoSpaceDE w:val="0"/>
              <w:autoSpaceDN w:val="0"/>
              <w:adjustRightInd w:val="0"/>
              <w:ind w:firstLine="709"/>
              <w:jc w:val="both"/>
              <w:rPr>
                <w:rFonts w:ascii="Times New Roman" w:eastAsia="Times New Roman" w:hAnsi="Times New Roman" w:cs="Times New Roman"/>
                <w:color w:val="000000" w:themeColor="text1"/>
                <w:sz w:val="24"/>
                <w:szCs w:val="24"/>
                <w:lang w:eastAsia="ru-RU"/>
              </w:rPr>
            </w:pPr>
            <w:r w:rsidRPr="00EA39C4">
              <w:rPr>
                <w:rFonts w:ascii="Times New Roman" w:eastAsia="Times New Roman" w:hAnsi="Times New Roman" w:cs="Times New Roman"/>
                <w:color w:val="000000" w:themeColor="text1"/>
                <w:sz w:val="24"/>
                <w:szCs w:val="24"/>
                <w:lang w:eastAsia="ru-RU"/>
              </w:rPr>
              <w:t xml:space="preserve">Восполнение добычи нефти запасами, по данным ПАО «Татнефть» и МНК, показано в </w:t>
            </w:r>
            <w:hyperlink w:anchor="P299" w:history="1">
              <w:r w:rsidRPr="00EA39C4">
                <w:rPr>
                  <w:rStyle w:val="a9"/>
                  <w:rFonts w:ascii="Times New Roman" w:eastAsia="Times New Roman" w:hAnsi="Times New Roman" w:cs="Times New Roman"/>
                  <w:color w:val="000000" w:themeColor="text1"/>
                  <w:sz w:val="24"/>
                  <w:szCs w:val="24"/>
                  <w:u w:val="none"/>
                  <w:lang w:eastAsia="ru-RU"/>
                </w:rPr>
                <w:t>таблицах 4</w:t>
              </w:r>
            </w:hyperlink>
            <w:r w:rsidRPr="00EA39C4">
              <w:rPr>
                <w:rFonts w:ascii="Times New Roman" w:eastAsia="Times New Roman" w:hAnsi="Times New Roman" w:cs="Times New Roman"/>
                <w:color w:val="000000" w:themeColor="text1"/>
                <w:sz w:val="24"/>
                <w:szCs w:val="24"/>
                <w:lang w:eastAsia="ru-RU"/>
              </w:rPr>
              <w:t xml:space="preserve"> и </w:t>
            </w:r>
            <w:hyperlink w:anchor="P372" w:history="1">
              <w:r w:rsidRPr="00EA39C4">
                <w:rPr>
                  <w:rStyle w:val="a9"/>
                  <w:rFonts w:ascii="Times New Roman" w:eastAsia="Times New Roman" w:hAnsi="Times New Roman" w:cs="Times New Roman"/>
                  <w:color w:val="000000" w:themeColor="text1"/>
                  <w:sz w:val="24"/>
                  <w:szCs w:val="24"/>
                  <w:u w:val="none"/>
                  <w:lang w:eastAsia="ru-RU"/>
                </w:rPr>
                <w:t>5</w:t>
              </w:r>
            </w:hyperlink>
            <w:r w:rsidRPr="00EA39C4">
              <w:rPr>
                <w:rFonts w:ascii="Times New Roman" w:eastAsia="Times New Roman" w:hAnsi="Times New Roman" w:cs="Times New Roman"/>
                <w:color w:val="000000" w:themeColor="text1"/>
                <w:sz w:val="24"/>
                <w:szCs w:val="24"/>
                <w:lang w:eastAsia="ru-RU"/>
              </w:rPr>
              <w:t>.</w:t>
            </w:r>
          </w:p>
          <w:p w:rsidR="00EA39C4" w:rsidRPr="00EA39C4" w:rsidRDefault="00EA39C4" w:rsidP="00EA39C4">
            <w:pPr>
              <w:autoSpaceDE w:val="0"/>
              <w:autoSpaceDN w:val="0"/>
              <w:adjustRightInd w:val="0"/>
              <w:ind w:firstLine="709"/>
              <w:jc w:val="both"/>
              <w:rPr>
                <w:rFonts w:ascii="Times New Roman" w:eastAsia="Times New Roman" w:hAnsi="Times New Roman" w:cs="Times New Roman"/>
                <w:sz w:val="24"/>
                <w:szCs w:val="24"/>
                <w:lang w:eastAsia="ru-RU"/>
              </w:rPr>
            </w:pPr>
            <w:r w:rsidRPr="00EA39C4">
              <w:rPr>
                <w:rFonts w:ascii="Times New Roman" w:eastAsia="Times New Roman" w:hAnsi="Times New Roman" w:cs="Times New Roman"/>
                <w:sz w:val="24"/>
                <w:szCs w:val="24"/>
                <w:lang w:eastAsia="ru-RU"/>
              </w:rPr>
              <w:t>По состоянию на 2018 год по ПАО «Татнефть» воспроизводство минерально-сырьевой базы составляет 196 процентов, по МНК республики – 167,08 процента.</w:t>
            </w:r>
          </w:p>
          <w:p w:rsidR="000E080B" w:rsidRPr="00D423B2" w:rsidRDefault="000E080B" w:rsidP="000E080B">
            <w:pPr>
              <w:autoSpaceDE w:val="0"/>
              <w:autoSpaceDN w:val="0"/>
              <w:adjustRightInd w:val="0"/>
              <w:jc w:val="both"/>
              <w:rPr>
                <w:rFonts w:ascii="Times New Roman" w:eastAsia="Times New Roman" w:hAnsi="Times New Roman" w:cs="Times New Roman"/>
                <w:sz w:val="24"/>
                <w:szCs w:val="24"/>
                <w:lang w:eastAsia="ru-RU"/>
              </w:rPr>
            </w:pPr>
          </w:p>
          <w:p w:rsidR="000E080B" w:rsidRPr="00D423B2" w:rsidRDefault="002A0C6A" w:rsidP="000E080B">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0E080B" w:rsidRPr="00D423B2">
              <w:rPr>
                <w:rFonts w:ascii="Times New Roman" w:eastAsia="Times New Roman" w:hAnsi="Times New Roman" w:cs="Times New Roman"/>
                <w:sz w:val="24"/>
                <w:szCs w:val="24"/>
                <w:lang w:eastAsia="ru-RU"/>
              </w:rPr>
              <w:t>4</w:t>
            </w:r>
          </w:p>
          <w:p w:rsidR="000E080B" w:rsidRPr="00D423B2" w:rsidRDefault="000E080B" w:rsidP="000E080B">
            <w:pPr>
              <w:autoSpaceDE w:val="0"/>
              <w:autoSpaceDN w:val="0"/>
              <w:adjustRightInd w:val="0"/>
              <w:jc w:val="both"/>
              <w:rPr>
                <w:rFonts w:ascii="Times New Roman" w:eastAsia="Times New Roman" w:hAnsi="Times New Roman" w:cs="Times New Roman"/>
                <w:sz w:val="24"/>
                <w:szCs w:val="24"/>
                <w:lang w:eastAsia="ru-RU"/>
              </w:rPr>
            </w:pPr>
          </w:p>
          <w:p w:rsidR="000E080B" w:rsidRPr="00D423B2" w:rsidRDefault="000E080B" w:rsidP="000E080B">
            <w:pPr>
              <w:autoSpaceDE w:val="0"/>
              <w:autoSpaceDN w:val="0"/>
              <w:adjustRightInd w:val="0"/>
              <w:jc w:val="center"/>
              <w:rPr>
                <w:rFonts w:ascii="TimesNewRomanPSMT" w:eastAsia="Times New Roman" w:hAnsi="TimesNewRomanPSMT" w:cs="TimesNewRomanPSMT"/>
                <w:sz w:val="24"/>
                <w:szCs w:val="24"/>
                <w:lang w:eastAsia="ru-RU"/>
              </w:rPr>
            </w:pPr>
            <w:r w:rsidRPr="00D423B2">
              <w:rPr>
                <w:rFonts w:ascii="TimesNewRomanPSMT" w:eastAsia="Times New Roman" w:hAnsi="TimesNewRomanPSMT" w:cs="TimesNewRomanPSMT"/>
                <w:sz w:val="24"/>
                <w:szCs w:val="24"/>
                <w:lang w:eastAsia="ru-RU"/>
              </w:rPr>
              <w:t>Динамика восполнения добычи нефти запасами по ПАО «Татнефть»</w:t>
            </w:r>
          </w:p>
          <w:p w:rsidR="00265ED6" w:rsidRPr="00D423B2" w:rsidRDefault="00265ED6" w:rsidP="00DB5C03">
            <w:pPr>
              <w:autoSpaceDE w:val="0"/>
              <w:autoSpaceDN w:val="0"/>
              <w:adjustRightInd w:val="0"/>
              <w:jc w:val="both"/>
              <w:rPr>
                <w:rFonts w:ascii="TimesNewRomanPSMT" w:eastAsia="Times New Roman" w:hAnsi="TimesNewRomanPSMT" w:cs="TimesNewRomanPSMT"/>
                <w:sz w:val="24"/>
                <w:szCs w:val="24"/>
                <w:lang w:eastAsia="ru-RU"/>
              </w:rPr>
            </w:pPr>
          </w:p>
          <w:tbl>
            <w:tblPr>
              <w:tblW w:w="4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724"/>
              <w:gridCol w:w="747"/>
              <w:gridCol w:w="748"/>
              <w:gridCol w:w="748"/>
            </w:tblGrid>
            <w:tr w:rsidR="00DB5C03" w:rsidRPr="00DB5C03" w:rsidTr="00062936">
              <w:trPr>
                <w:trHeight w:val="282"/>
              </w:trPr>
              <w:tc>
                <w:tcPr>
                  <w:tcW w:w="2724"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Наименование показателя/годы</w:t>
                  </w:r>
                </w:p>
              </w:tc>
              <w:tc>
                <w:tcPr>
                  <w:tcW w:w="747"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2016</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2017</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2018</w:t>
                  </w:r>
                </w:p>
              </w:tc>
            </w:tr>
            <w:tr w:rsidR="00DB5C03" w:rsidRPr="00DB5C03" w:rsidTr="00062936">
              <w:trPr>
                <w:trHeight w:val="282"/>
              </w:trPr>
              <w:tc>
                <w:tcPr>
                  <w:tcW w:w="2724" w:type="dxa"/>
                </w:tcPr>
                <w:p w:rsidR="00DB5C03" w:rsidRPr="00DB5C03" w:rsidRDefault="00DB5C03" w:rsidP="00DB5C03">
                  <w:pPr>
                    <w:pStyle w:val="ConsPlusNormal"/>
                    <w:spacing w:before="60" w:after="60"/>
                    <w:rPr>
                      <w:rFonts w:ascii="Times New Roman" w:hAnsi="Times New Roman" w:cs="Times New Roman"/>
                      <w:sz w:val="16"/>
                      <w:szCs w:val="16"/>
                    </w:rPr>
                  </w:pPr>
                  <w:r w:rsidRPr="00DB5C03">
                    <w:rPr>
                      <w:rFonts w:ascii="Times New Roman" w:hAnsi="Times New Roman" w:cs="Times New Roman"/>
                      <w:sz w:val="16"/>
                      <w:szCs w:val="16"/>
                    </w:rPr>
                    <w:t>Добыча нефти, млн тонн*</w:t>
                  </w:r>
                </w:p>
              </w:tc>
              <w:tc>
                <w:tcPr>
                  <w:tcW w:w="747"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28,7</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28,9</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29,5</w:t>
                  </w:r>
                </w:p>
              </w:tc>
            </w:tr>
            <w:tr w:rsidR="00DB5C03" w:rsidRPr="00DB5C03" w:rsidTr="00062936">
              <w:trPr>
                <w:trHeight w:val="292"/>
              </w:trPr>
              <w:tc>
                <w:tcPr>
                  <w:tcW w:w="2724" w:type="dxa"/>
                </w:tcPr>
                <w:p w:rsidR="00DB5C03" w:rsidRPr="00DB5C03" w:rsidRDefault="00DB5C03" w:rsidP="00DB5C03">
                  <w:pPr>
                    <w:pStyle w:val="ConsPlusNormal"/>
                    <w:spacing w:before="60" w:after="60"/>
                    <w:rPr>
                      <w:rFonts w:ascii="Times New Roman" w:hAnsi="Times New Roman" w:cs="Times New Roman"/>
                      <w:sz w:val="16"/>
                      <w:szCs w:val="16"/>
                    </w:rPr>
                  </w:pPr>
                  <w:r w:rsidRPr="00DB5C03">
                    <w:rPr>
                      <w:rFonts w:ascii="Times New Roman" w:hAnsi="Times New Roman" w:cs="Times New Roman"/>
                      <w:sz w:val="16"/>
                      <w:szCs w:val="16"/>
                    </w:rPr>
                    <w:t>Прирост запасов, млн тонн **</w:t>
                  </w:r>
                </w:p>
              </w:tc>
              <w:tc>
                <w:tcPr>
                  <w:tcW w:w="747"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38,7</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50,9</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58,0</w:t>
                  </w:r>
                </w:p>
              </w:tc>
            </w:tr>
            <w:tr w:rsidR="00DB5C03" w:rsidRPr="00DB5C03" w:rsidTr="00062936">
              <w:trPr>
                <w:trHeight w:val="271"/>
              </w:trPr>
              <w:tc>
                <w:tcPr>
                  <w:tcW w:w="2724" w:type="dxa"/>
                </w:tcPr>
                <w:p w:rsidR="00DB5C03" w:rsidRPr="00DB5C03" w:rsidRDefault="00DB5C03" w:rsidP="00DB5C03">
                  <w:pPr>
                    <w:pStyle w:val="ConsPlusNormal"/>
                    <w:spacing w:before="60" w:after="60"/>
                    <w:rPr>
                      <w:rFonts w:ascii="Times New Roman" w:hAnsi="Times New Roman" w:cs="Times New Roman"/>
                      <w:sz w:val="16"/>
                      <w:szCs w:val="16"/>
                    </w:rPr>
                  </w:pPr>
                  <w:r w:rsidRPr="00DB5C03">
                    <w:rPr>
                      <w:rFonts w:ascii="Times New Roman" w:hAnsi="Times New Roman" w:cs="Times New Roman"/>
                      <w:sz w:val="16"/>
                      <w:szCs w:val="16"/>
                    </w:rPr>
                    <w:t>Воспроизводство минерально-сырьевой базы, %*</w:t>
                  </w:r>
                </w:p>
              </w:tc>
              <w:tc>
                <w:tcPr>
                  <w:tcW w:w="747"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135</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176</w:t>
                  </w:r>
                </w:p>
              </w:tc>
              <w:tc>
                <w:tcPr>
                  <w:tcW w:w="748" w:type="dxa"/>
                </w:tcPr>
                <w:p w:rsidR="00DB5C03" w:rsidRPr="00DB5C03" w:rsidRDefault="00DB5C03" w:rsidP="00DB5C03">
                  <w:pPr>
                    <w:pStyle w:val="ConsPlusNormal"/>
                    <w:spacing w:before="60" w:after="60"/>
                    <w:jc w:val="center"/>
                    <w:rPr>
                      <w:rFonts w:ascii="Times New Roman" w:hAnsi="Times New Roman" w:cs="Times New Roman"/>
                      <w:sz w:val="16"/>
                      <w:szCs w:val="16"/>
                    </w:rPr>
                  </w:pPr>
                  <w:r w:rsidRPr="00DB5C03">
                    <w:rPr>
                      <w:rFonts w:ascii="Times New Roman" w:hAnsi="Times New Roman" w:cs="Times New Roman"/>
                      <w:sz w:val="16"/>
                      <w:szCs w:val="16"/>
                    </w:rPr>
                    <w:t>196</w:t>
                  </w:r>
                </w:p>
              </w:tc>
            </w:tr>
          </w:tbl>
          <w:p w:rsidR="00051293" w:rsidRDefault="00051293" w:rsidP="00771027">
            <w:pPr>
              <w:autoSpaceDE w:val="0"/>
              <w:autoSpaceDN w:val="0"/>
              <w:adjustRightInd w:val="0"/>
              <w:jc w:val="right"/>
              <w:outlineLvl w:val="3"/>
              <w:rPr>
                <w:rFonts w:ascii="Times New Roman" w:eastAsia="Times New Roman" w:hAnsi="Times New Roman" w:cs="Times New Roman"/>
                <w:sz w:val="24"/>
                <w:szCs w:val="24"/>
                <w:lang w:eastAsia="ru-RU"/>
              </w:rPr>
            </w:pPr>
          </w:p>
          <w:p w:rsidR="00771027" w:rsidRPr="00D423B2" w:rsidRDefault="00051293" w:rsidP="00771027">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771027" w:rsidRPr="00D423B2">
              <w:rPr>
                <w:rFonts w:ascii="Times New Roman" w:eastAsia="Times New Roman" w:hAnsi="Times New Roman" w:cs="Times New Roman"/>
                <w:sz w:val="24"/>
                <w:szCs w:val="24"/>
                <w:lang w:eastAsia="ru-RU"/>
              </w:rPr>
              <w:t>5</w:t>
            </w:r>
          </w:p>
          <w:p w:rsidR="00771027" w:rsidRPr="00D423B2" w:rsidRDefault="00771027" w:rsidP="00771027">
            <w:pPr>
              <w:autoSpaceDE w:val="0"/>
              <w:autoSpaceDN w:val="0"/>
              <w:adjustRightInd w:val="0"/>
              <w:jc w:val="both"/>
              <w:rPr>
                <w:rFonts w:ascii="Times New Roman" w:eastAsia="Times New Roman" w:hAnsi="Times New Roman" w:cs="Times New Roman"/>
                <w:sz w:val="24"/>
                <w:szCs w:val="24"/>
                <w:lang w:eastAsia="ru-RU"/>
              </w:rPr>
            </w:pPr>
          </w:p>
          <w:p w:rsidR="00771027" w:rsidRDefault="00771027" w:rsidP="00771027">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Динамика восполнения добычи нефти запасами </w:t>
            </w:r>
            <w:r w:rsidR="000042D9">
              <w:rPr>
                <w:rFonts w:ascii="Times New Roman" w:eastAsia="Times New Roman" w:hAnsi="Times New Roman" w:cs="Times New Roman"/>
                <w:sz w:val="24"/>
                <w:szCs w:val="24"/>
                <w:lang w:eastAsia="ru-RU"/>
              </w:rPr>
              <w:t>(</w:t>
            </w:r>
            <w:r w:rsidRPr="00D423B2">
              <w:rPr>
                <w:rFonts w:ascii="Times New Roman" w:eastAsia="Times New Roman" w:hAnsi="Times New Roman" w:cs="Times New Roman"/>
                <w:sz w:val="24"/>
                <w:szCs w:val="24"/>
                <w:lang w:eastAsia="ru-RU"/>
              </w:rPr>
              <w:t xml:space="preserve">по </w:t>
            </w:r>
            <w:r w:rsidR="000042D9">
              <w:rPr>
                <w:rFonts w:ascii="Times New Roman" w:eastAsia="Times New Roman" w:hAnsi="Times New Roman" w:cs="Times New Roman"/>
                <w:sz w:val="24"/>
                <w:szCs w:val="24"/>
                <w:lang w:eastAsia="ru-RU"/>
              </w:rPr>
              <w:t xml:space="preserve">данным </w:t>
            </w:r>
            <w:r w:rsidRPr="00D423B2">
              <w:rPr>
                <w:rFonts w:ascii="Times New Roman" w:eastAsia="Times New Roman" w:hAnsi="Times New Roman" w:cs="Times New Roman"/>
                <w:sz w:val="24"/>
                <w:szCs w:val="24"/>
                <w:lang w:eastAsia="ru-RU"/>
              </w:rPr>
              <w:t>МНК</w:t>
            </w:r>
            <w:r w:rsidR="000042D9">
              <w:rPr>
                <w:rFonts w:ascii="Times New Roman" w:eastAsia="Times New Roman" w:hAnsi="Times New Roman" w:cs="Times New Roman"/>
                <w:sz w:val="24"/>
                <w:szCs w:val="24"/>
                <w:lang w:eastAsia="ru-RU"/>
              </w:rPr>
              <w:t>)</w:t>
            </w:r>
          </w:p>
          <w:p w:rsidR="000042D9" w:rsidRPr="00D423B2" w:rsidRDefault="000042D9" w:rsidP="00771027">
            <w:pPr>
              <w:autoSpaceDE w:val="0"/>
              <w:autoSpaceDN w:val="0"/>
              <w:adjustRightInd w:val="0"/>
              <w:jc w:val="center"/>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81"/>
              <w:gridCol w:w="474"/>
              <w:gridCol w:w="474"/>
              <w:gridCol w:w="475"/>
              <w:gridCol w:w="474"/>
              <w:gridCol w:w="475"/>
            </w:tblGrid>
            <w:tr w:rsidR="000042D9" w:rsidRPr="000042D9" w:rsidTr="00062936">
              <w:trPr>
                <w:trHeight w:val="305"/>
              </w:trPr>
              <w:tc>
                <w:tcPr>
                  <w:tcW w:w="2581" w:type="dxa"/>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lastRenderedPageBreak/>
                    <w:t>Наименование показателя / годы</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2014</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2015</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2016</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2017</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2018</w:t>
                  </w:r>
                </w:p>
              </w:tc>
            </w:tr>
            <w:tr w:rsidR="000042D9" w:rsidRPr="000042D9" w:rsidTr="00062936">
              <w:trPr>
                <w:trHeight w:val="305"/>
              </w:trPr>
              <w:tc>
                <w:tcPr>
                  <w:tcW w:w="2581" w:type="dxa"/>
                </w:tcPr>
                <w:p w:rsidR="000042D9" w:rsidRPr="000042D9" w:rsidRDefault="000042D9" w:rsidP="000042D9">
                  <w:pPr>
                    <w:pStyle w:val="ConsPlusNormal"/>
                    <w:spacing w:before="60" w:after="60"/>
                    <w:rPr>
                      <w:rFonts w:ascii="Times New Roman" w:hAnsi="Times New Roman" w:cs="Times New Roman"/>
                      <w:sz w:val="16"/>
                      <w:szCs w:val="16"/>
                    </w:rPr>
                  </w:pPr>
                  <w:r w:rsidRPr="000042D9">
                    <w:rPr>
                      <w:rFonts w:ascii="Times New Roman" w:hAnsi="Times New Roman" w:cs="Times New Roman"/>
                      <w:sz w:val="16"/>
                      <w:szCs w:val="16"/>
                    </w:rPr>
                    <w:t>Добыча нефти, млн тонн</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6,9</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7,1</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7,15</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7,258</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7,140</w:t>
                  </w:r>
                </w:p>
              </w:tc>
            </w:tr>
            <w:tr w:rsidR="000042D9" w:rsidRPr="000042D9" w:rsidTr="00062936">
              <w:trPr>
                <w:trHeight w:val="532"/>
              </w:trPr>
              <w:tc>
                <w:tcPr>
                  <w:tcW w:w="2581" w:type="dxa"/>
                </w:tcPr>
                <w:p w:rsidR="000042D9" w:rsidRPr="000042D9" w:rsidRDefault="000042D9" w:rsidP="000042D9">
                  <w:pPr>
                    <w:pStyle w:val="ConsPlusNormal"/>
                    <w:spacing w:before="60" w:after="60"/>
                    <w:rPr>
                      <w:rFonts w:ascii="Times New Roman" w:hAnsi="Times New Roman" w:cs="Times New Roman"/>
                      <w:sz w:val="16"/>
                      <w:szCs w:val="16"/>
                    </w:rPr>
                  </w:pPr>
                  <w:r w:rsidRPr="000042D9">
                    <w:rPr>
                      <w:rFonts w:ascii="Times New Roman" w:hAnsi="Times New Roman" w:cs="Times New Roman"/>
                      <w:sz w:val="16"/>
                      <w:szCs w:val="16"/>
                    </w:rPr>
                    <w:t>Прирост запасов по категории С1 + С2 (с учетом списания запасов), млн тонн, в том числе</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8,2</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13,7</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4,7</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13,4</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12</w:t>
                  </w:r>
                </w:p>
              </w:tc>
            </w:tr>
            <w:tr w:rsidR="000042D9" w:rsidRPr="000042D9" w:rsidTr="00062936">
              <w:trPr>
                <w:trHeight w:val="305"/>
              </w:trPr>
              <w:tc>
                <w:tcPr>
                  <w:tcW w:w="2581" w:type="dxa"/>
                </w:tcPr>
                <w:p w:rsidR="000042D9" w:rsidRPr="000042D9" w:rsidRDefault="000042D9" w:rsidP="000042D9">
                  <w:pPr>
                    <w:pStyle w:val="ConsPlusNormal"/>
                    <w:spacing w:before="60" w:after="60"/>
                    <w:ind w:left="283"/>
                    <w:rPr>
                      <w:rFonts w:ascii="Times New Roman" w:hAnsi="Times New Roman" w:cs="Times New Roman"/>
                      <w:sz w:val="16"/>
                      <w:szCs w:val="16"/>
                    </w:rPr>
                  </w:pPr>
                  <w:r w:rsidRPr="000042D9">
                    <w:rPr>
                      <w:rFonts w:ascii="Times New Roman" w:hAnsi="Times New Roman" w:cs="Times New Roman"/>
                      <w:sz w:val="16"/>
                      <w:szCs w:val="16"/>
                    </w:rPr>
                    <w:t>за счет текущих ГРР</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7,8</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13,7</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2,9</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13,6</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4,6</w:t>
                  </w:r>
                </w:p>
              </w:tc>
            </w:tr>
            <w:tr w:rsidR="000042D9" w:rsidRPr="000042D9" w:rsidTr="00062936">
              <w:trPr>
                <w:trHeight w:val="317"/>
              </w:trPr>
              <w:tc>
                <w:tcPr>
                  <w:tcW w:w="2581" w:type="dxa"/>
                </w:tcPr>
                <w:p w:rsidR="000042D9" w:rsidRPr="000042D9" w:rsidRDefault="000042D9" w:rsidP="000042D9">
                  <w:pPr>
                    <w:pStyle w:val="ConsPlusNormal"/>
                    <w:spacing w:before="60" w:after="60"/>
                    <w:ind w:left="283"/>
                    <w:rPr>
                      <w:rFonts w:ascii="Times New Roman" w:hAnsi="Times New Roman" w:cs="Times New Roman"/>
                      <w:sz w:val="16"/>
                      <w:szCs w:val="16"/>
                    </w:rPr>
                  </w:pPr>
                  <w:r w:rsidRPr="000042D9">
                    <w:rPr>
                      <w:rFonts w:ascii="Times New Roman" w:hAnsi="Times New Roman" w:cs="Times New Roman"/>
                      <w:sz w:val="16"/>
                      <w:szCs w:val="16"/>
                    </w:rPr>
                    <w:t>за счет изменения КИН и переоценки</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0,4</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-2,6</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1,8</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-0,2</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14,3</w:t>
                  </w:r>
                </w:p>
              </w:tc>
            </w:tr>
            <w:tr w:rsidR="000042D9" w:rsidRPr="000042D9" w:rsidTr="00062936">
              <w:trPr>
                <w:trHeight w:val="294"/>
              </w:trPr>
              <w:tc>
                <w:tcPr>
                  <w:tcW w:w="2581" w:type="dxa"/>
                </w:tcPr>
                <w:p w:rsidR="000042D9" w:rsidRPr="000042D9" w:rsidRDefault="000042D9" w:rsidP="000042D9">
                  <w:pPr>
                    <w:pStyle w:val="ConsPlusNormal"/>
                    <w:spacing w:before="60" w:after="60"/>
                    <w:ind w:right="-62"/>
                    <w:rPr>
                      <w:rFonts w:ascii="Times New Roman" w:hAnsi="Times New Roman" w:cs="Times New Roman"/>
                      <w:sz w:val="16"/>
                      <w:szCs w:val="16"/>
                    </w:rPr>
                  </w:pPr>
                  <w:r w:rsidRPr="000042D9">
                    <w:rPr>
                      <w:rFonts w:ascii="Times New Roman" w:hAnsi="Times New Roman" w:cs="Times New Roman"/>
                      <w:sz w:val="16"/>
                      <w:szCs w:val="16"/>
                    </w:rPr>
                    <w:t>Воспроизводство минерально-сырьевой базы, %</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118,8</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193</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65,7</w:t>
                  </w:r>
                </w:p>
              </w:tc>
              <w:tc>
                <w:tcPr>
                  <w:tcW w:w="474"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184,6</w:t>
                  </w:r>
                </w:p>
              </w:tc>
              <w:tc>
                <w:tcPr>
                  <w:tcW w:w="475" w:type="dxa"/>
                  <w:vAlign w:val="center"/>
                </w:tcPr>
                <w:p w:rsidR="000042D9" w:rsidRPr="000042D9" w:rsidRDefault="000042D9" w:rsidP="000042D9">
                  <w:pPr>
                    <w:pStyle w:val="ConsPlusNormal"/>
                    <w:spacing w:before="60" w:after="60"/>
                    <w:jc w:val="center"/>
                    <w:rPr>
                      <w:rFonts w:ascii="Times New Roman" w:hAnsi="Times New Roman" w:cs="Times New Roman"/>
                      <w:sz w:val="16"/>
                      <w:szCs w:val="16"/>
                    </w:rPr>
                  </w:pPr>
                  <w:r w:rsidRPr="000042D9">
                    <w:rPr>
                      <w:rFonts w:ascii="Times New Roman" w:hAnsi="Times New Roman" w:cs="Times New Roman"/>
                      <w:sz w:val="16"/>
                      <w:szCs w:val="16"/>
                    </w:rPr>
                    <w:t>167,08</w:t>
                  </w:r>
                </w:p>
              </w:tc>
            </w:tr>
          </w:tbl>
          <w:p w:rsidR="007B69D9" w:rsidRPr="007B69D9" w:rsidRDefault="007B69D9" w:rsidP="007B69D9">
            <w:pPr>
              <w:autoSpaceDE w:val="0"/>
              <w:autoSpaceDN w:val="0"/>
              <w:adjustRightInd w:val="0"/>
              <w:jc w:val="both"/>
              <w:rPr>
                <w:rFonts w:ascii="Times New Roman" w:eastAsia="Times New Roman" w:hAnsi="Times New Roman" w:cs="Times New Roman"/>
                <w:iCs/>
                <w:sz w:val="16"/>
                <w:szCs w:val="16"/>
                <w:lang w:eastAsia="ru-RU"/>
              </w:rPr>
            </w:pPr>
            <w:r w:rsidRPr="007B69D9">
              <w:rPr>
                <w:rFonts w:ascii="Times New Roman" w:eastAsia="Times New Roman" w:hAnsi="Times New Roman" w:cs="Times New Roman"/>
                <w:iCs/>
                <w:sz w:val="16"/>
                <w:szCs w:val="16"/>
                <w:lang w:eastAsia="ru-RU"/>
              </w:rPr>
              <w:t>___________</w:t>
            </w:r>
          </w:p>
          <w:p w:rsidR="007B69D9" w:rsidRPr="007B69D9" w:rsidRDefault="007B69D9" w:rsidP="007B69D9">
            <w:pPr>
              <w:autoSpaceDE w:val="0"/>
              <w:autoSpaceDN w:val="0"/>
              <w:adjustRightInd w:val="0"/>
              <w:jc w:val="both"/>
              <w:rPr>
                <w:rFonts w:ascii="Times New Roman" w:eastAsia="Times New Roman" w:hAnsi="Times New Roman" w:cs="Times New Roman"/>
                <w:iCs/>
                <w:sz w:val="16"/>
                <w:szCs w:val="16"/>
                <w:lang w:eastAsia="ru-RU"/>
              </w:rPr>
            </w:pPr>
            <w:r w:rsidRPr="007B69D9">
              <w:rPr>
                <w:rFonts w:ascii="Times New Roman" w:eastAsia="Times New Roman" w:hAnsi="Times New Roman" w:cs="Times New Roman"/>
                <w:iCs/>
                <w:sz w:val="16"/>
                <w:szCs w:val="16"/>
                <w:lang w:eastAsia="ru-RU"/>
              </w:rPr>
              <w:t>*  по</w:t>
            </w:r>
            <w:r w:rsidRPr="007B69D9">
              <w:rPr>
                <w:rFonts w:ascii="Times New Roman" w:eastAsia="Calibri" w:hAnsi="Times New Roman" w:cs="Times New Roman"/>
                <w:bCs/>
                <w:sz w:val="16"/>
                <w:szCs w:val="16"/>
              </w:rPr>
              <w:t xml:space="preserve">  оценке независимой компании «Миллер энд Ленц, Лтд.»</w:t>
            </w:r>
            <w:r w:rsidRPr="007B69D9">
              <w:rPr>
                <w:rFonts w:ascii="Times New Roman" w:eastAsia="Times New Roman" w:hAnsi="Times New Roman" w:cs="Times New Roman"/>
                <w:sz w:val="16"/>
                <w:szCs w:val="16"/>
                <w:lang w:eastAsia="ru-RU"/>
              </w:rPr>
              <w:t>,</w:t>
            </w:r>
          </w:p>
          <w:p w:rsidR="00771027" w:rsidRPr="00824444" w:rsidRDefault="007B69D9" w:rsidP="00771027">
            <w:pPr>
              <w:autoSpaceDE w:val="0"/>
              <w:autoSpaceDN w:val="0"/>
              <w:adjustRightInd w:val="0"/>
              <w:jc w:val="both"/>
              <w:rPr>
                <w:rFonts w:ascii="Times New Roman" w:eastAsia="Times New Roman" w:hAnsi="Times New Roman" w:cs="Times New Roman"/>
                <w:sz w:val="16"/>
                <w:szCs w:val="16"/>
                <w:lang w:eastAsia="ru-RU"/>
              </w:rPr>
            </w:pPr>
            <w:r w:rsidRPr="007B69D9">
              <w:rPr>
                <w:rFonts w:ascii="Times New Roman" w:eastAsia="Times New Roman" w:hAnsi="Times New Roman" w:cs="Times New Roman"/>
                <w:iCs/>
                <w:sz w:val="16"/>
                <w:szCs w:val="16"/>
                <w:lang w:eastAsia="ru-RU"/>
              </w:rPr>
              <w:t>** по данным ПАО «Татнефть»</w:t>
            </w:r>
          </w:p>
          <w:p w:rsidR="00771027" w:rsidRPr="00D423B2" w:rsidRDefault="00771027" w:rsidP="00771027">
            <w:pPr>
              <w:autoSpaceDE w:val="0"/>
              <w:autoSpaceDN w:val="0"/>
              <w:adjustRightInd w:val="0"/>
              <w:jc w:val="both"/>
              <w:rPr>
                <w:rFonts w:ascii="Times New Roman" w:eastAsia="Times New Roman" w:hAnsi="Times New Roman" w:cs="Times New Roman"/>
                <w:sz w:val="24"/>
                <w:szCs w:val="24"/>
                <w:lang w:eastAsia="ru-RU"/>
              </w:rPr>
            </w:pPr>
          </w:p>
          <w:p w:rsidR="00145F03" w:rsidRPr="00D423B2" w:rsidRDefault="00145F03" w:rsidP="00145F03">
            <w:pPr>
              <w:autoSpaceDE w:val="0"/>
              <w:autoSpaceDN w:val="0"/>
              <w:adjustRightInd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3.3. Воспроизводство минерально-сырьевой базы углеводородов Республики Татарстан</w:t>
            </w:r>
          </w:p>
          <w:p w:rsidR="00E538D1" w:rsidRDefault="00145F03" w:rsidP="00145F03">
            <w:pPr>
              <w:autoSpaceDE w:val="0"/>
              <w:autoSpaceDN w:val="0"/>
              <w:adjustRightInd w:val="0"/>
              <w:jc w:val="both"/>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 xml:space="preserve">            </w:t>
            </w:r>
          </w:p>
          <w:p w:rsidR="007F69EA" w:rsidRPr="007F69EA" w:rsidRDefault="00E538D1" w:rsidP="007F69EA">
            <w:pPr>
              <w:ind w:firstLine="709"/>
              <w:jc w:val="both"/>
              <w:rPr>
                <w:rFonts w:ascii="Times New Roman" w:hAnsi="Times New Roman"/>
                <w:sz w:val="24"/>
                <w:szCs w:val="24"/>
                <w:lang w:eastAsia="ru-RU"/>
              </w:rPr>
            </w:pPr>
            <w:r>
              <w:rPr>
                <w:rFonts w:ascii="Times New Roman" w:eastAsia="Times New Roman" w:hAnsi="Times New Roman" w:cs="Times New Roman"/>
                <w:b/>
                <w:sz w:val="24"/>
                <w:szCs w:val="24"/>
                <w:lang w:eastAsia="ru-RU"/>
              </w:rPr>
              <w:t xml:space="preserve">           </w:t>
            </w:r>
            <w:r w:rsidR="007F69EA" w:rsidRPr="007F69EA">
              <w:rPr>
                <w:rFonts w:ascii="Times New Roman" w:hAnsi="Times New Roman"/>
                <w:sz w:val="24"/>
                <w:szCs w:val="24"/>
                <w:lang w:eastAsia="ru-RU"/>
              </w:rPr>
              <w:t>Возможности прироста запасов за счет традиционных геологоразведочных работ (далее – ГРР) устойчиво сокращаются по мере увеличения разведанности территории. Татарстан является одной из наиболее разведанных в геологическом отношении территорий среди субъектов Российской Федерации. В настоящее время в республике доля прироста запасов за счет ГРР составляет около 40 процентов. К 2030 году значительная доля прироста будет осуществляться за счет запасов СВН и природных битумов пермских отложений, углеводородов, локализованных в карбонатных коллекторах, трудноизвлекаемых запасов, приуроченных к доманиковым отложениям, наименее изученным к настоящему времени.</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 xml:space="preserve">При выборе направлений ГРР, наряду с вопросами эффективности интегрального </w:t>
            </w:r>
            <w:r w:rsidRPr="007F69EA">
              <w:rPr>
                <w:rFonts w:ascii="Times New Roman" w:eastAsia="Times New Roman" w:hAnsi="Times New Roman" w:cs="Times New Roman"/>
                <w:sz w:val="24"/>
                <w:szCs w:val="24"/>
                <w:lang w:eastAsia="ru-RU"/>
              </w:rPr>
              <w:lastRenderedPageBreak/>
              <w:t>прироста запасов, необходимо руководствоваться вопросами их качества, а именно – доля запасов, которую можно ввести в активную и рентабельную разработку. Для МНК, учитывая ограниченность перспектив опоискования неразведанных участков на лицензионных территориях, а также запасов и ресурсов категорий С2 + С3, приоритетами ГРР должны стать вопросы:</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повышения КИН;</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переоценки запасов действующих месторождений с уточнением кондиционных значений пород-коллекторов, геолого-гидродинамических моделей;</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внедрения инновационных технологий разведки;</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доразведки эксплуатируемых месторождений.</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 xml:space="preserve">В </w:t>
            </w:r>
            <w:hyperlink w:anchor="P464" w:history="1">
              <w:r w:rsidRPr="007F69EA">
                <w:rPr>
                  <w:rFonts w:ascii="Times New Roman" w:eastAsia="Times New Roman" w:hAnsi="Times New Roman" w:cs="Times New Roman"/>
                  <w:sz w:val="24"/>
                  <w:szCs w:val="24"/>
                  <w:lang w:eastAsia="ru-RU"/>
                </w:rPr>
                <w:t>таблице 6</w:t>
              </w:r>
            </w:hyperlink>
            <w:r w:rsidRPr="007F69EA">
              <w:rPr>
                <w:rFonts w:ascii="Times New Roman" w:eastAsia="Times New Roman" w:hAnsi="Times New Roman" w:cs="Times New Roman"/>
                <w:sz w:val="24"/>
                <w:szCs w:val="24"/>
                <w:lang w:eastAsia="ru-RU"/>
              </w:rPr>
              <w:t xml:space="preserve"> приведены требуемые объемы поисково-разведочного бурения, обеспечивающие расширенное воспроизводство запасов. За период</w:t>
            </w:r>
            <w:r w:rsidRPr="007F69EA">
              <w:rPr>
                <w:rFonts w:ascii="Times New Roman" w:eastAsia="Times New Roman" w:hAnsi="Times New Roman" w:cs="Times New Roman"/>
                <w:sz w:val="24"/>
                <w:szCs w:val="24"/>
                <w:lang w:eastAsia="ru-RU"/>
              </w:rPr>
              <w:br/>
              <w:t>2017 – 2030 годов прирост запасов по Республике Татарстан составит</w:t>
            </w:r>
            <w:r w:rsidRPr="007F69EA">
              <w:rPr>
                <w:rFonts w:ascii="Times New Roman" w:eastAsia="Times New Roman" w:hAnsi="Times New Roman" w:cs="Times New Roman"/>
                <w:sz w:val="24"/>
                <w:szCs w:val="24"/>
                <w:lang w:eastAsia="ru-RU"/>
              </w:rPr>
              <w:br/>
              <w:t>563,2 млн тонн, суммарный объем добычи нефти – 558,01 млн тонн.</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Стабилизация добычи нефти в Республике Татарстан с небольшими темпами прироста в 2016 – 2030 годах будет обеспечена за счет:</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роста объемов поисково-разведочного бурения;</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 xml:space="preserve">увеличения объема бурения скважин по уплотненной сетке и скважин с горизонтальными окончаниями по новым технологиям (горизонтальные скважины на девонские </w:t>
            </w:r>
            <w:r w:rsidRPr="007F69EA">
              <w:rPr>
                <w:rFonts w:ascii="Times New Roman" w:eastAsia="Times New Roman" w:hAnsi="Times New Roman" w:cs="Times New Roman"/>
                <w:sz w:val="24"/>
                <w:szCs w:val="24"/>
                <w:lang w:eastAsia="ru-RU"/>
              </w:rPr>
              <w:lastRenderedPageBreak/>
              <w:t>отложения, боковые горизонтальные стволы на разрабатываемых месторождениях);</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применения тепловых методов для увеличения КИН при разработке месторождений с высоковязкой нефтью (закачка горячей воды на Беркет-Ключевском месторождении ЗАО «Охтинойл);</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внедрения системных технологий МУН;</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расширения объемов работ по вводу в разработку месторождений (залежей) битуминозных нефтей тепловыми методами;</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z w:val="24"/>
                <w:szCs w:val="24"/>
                <w:lang w:eastAsia="ru-RU"/>
              </w:rPr>
            </w:pPr>
            <w:r w:rsidRPr="007F69EA">
              <w:rPr>
                <w:rFonts w:ascii="Times New Roman" w:eastAsia="Times New Roman" w:hAnsi="Times New Roman" w:cs="Times New Roman"/>
                <w:sz w:val="24"/>
                <w:szCs w:val="24"/>
                <w:lang w:eastAsia="ru-RU"/>
              </w:rPr>
              <w:t>ввода в эксплуатацию залежей, участков со слабопроницаемыми коллекторами;</w:t>
            </w:r>
          </w:p>
          <w:p w:rsidR="007F69EA" w:rsidRPr="007F69EA" w:rsidRDefault="007F69EA" w:rsidP="007F69EA">
            <w:pPr>
              <w:autoSpaceDE w:val="0"/>
              <w:autoSpaceDN w:val="0"/>
              <w:adjustRightInd w:val="0"/>
              <w:ind w:firstLine="709"/>
              <w:jc w:val="both"/>
              <w:rPr>
                <w:rFonts w:ascii="Times New Roman" w:eastAsia="Times New Roman" w:hAnsi="Times New Roman" w:cs="Times New Roman"/>
                <w:strike/>
                <w:sz w:val="24"/>
                <w:szCs w:val="24"/>
                <w:lang w:eastAsia="ru-RU"/>
              </w:rPr>
            </w:pPr>
            <w:r w:rsidRPr="007F69EA">
              <w:rPr>
                <w:rFonts w:ascii="Times New Roman" w:eastAsia="Times New Roman" w:hAnsi="Times New Roman" w:cs="Times New Roman"/>
                <w:sz w:val="24"/>
                <w:szCs w:val="24"/>
                <w:lang w:eastAsia="ru-RU"/>
              </w:rPr>
              <w:t xml:space="preserve">внедрения новых технологий разработки залежей ВВН и СВН </w:t>
            </w:r>
            <w:hyperlink w:anchor="P726" w:history="1">
              <w:r w:rsidRPr="007F69EA">
                <w:rPr>
                  <w:rFonts w:ascii="Times New Roman" w:eastAsia="Times New Roman" w:hAnsi="Times New Roman" w:cs="Times New Roman"/>
                  <w:sz w:val="24"/>
                  <w:szCs w:val="24"/>
                  <w:lang w:eastAsia="ru-RU"/>
                </w:rPr>
                <w:t>(таблица 7)</w:t>
              </w:r>
            </w:hyperlink>
            <w:r w:rsidRPr="007F69EA">
              <w:rPr>
                <w:rFonts w:ascii="Times New Roman" w:eastAsia="Times New Roman" w:hAnsi="Times New Roman" w:cs="Times New Roman"/>
                <w:sz w:val="24"/>
                <w:szCs w:val="24"/>
                <w:lang w:eastAsia="ru-RU"/>
              </w:rPr>
              <w:t>.</w:t>
            </w:r>
          </w:p>
          <w:p w:rsidR="00E11B6E" w:rsidRPr="00D423B2" w:rsidRDefault="00E11B6E" w:rsidP="00E11B6E">
            <w:pPr>
              <w:autoSpaceDE w:val="0"/>
              <w:autoSpaceDN w:val="0"/>
              <w:adjustRightInd w:val="0"/>
              <w:jc w:val="right"/>
              <w:outlineLvl w:val="3"/>
              <w:rPr>
                <w:rFonts w:ascii="Times New Roman" w:eastAsia="Times New Roman" w:hAnsi="Times New Roman" w:cs="Times New Roman"/>
                <w:sz w:val="24"/>
                <w:szCs w:val="24"/>
                <w:lang w:eastAsia="ru-RU"/>
              </w:rPr>
            </w:pPr>
          </w:p>
          <w:p w:rsidR="00E11B6E" w:rsidRPr="00D423B2" w:rsidRDefault="00F47AAF" w:rsidP="00E11B6E">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E11B6E" w:rsidRPr="00D423B2">
              <w:rPr>
                <w:rFonts w:ascii="Times New Roman" w:eastAsia="Times New Roman" w:hAnsi="Times New Roman" w:cs="Times New Roman"/>
                <w:sz w:val="24"/>
                <w:szCs w:val="24"/>
                <w:lang w:eastAsia="ru-RU"/>
              </w:rPr>
              <w:t>6</w:t>
            </w:r>
          </w:p>
          <w:p w:rsidR="00F47AAF" w:rsidRDefault="00F47AAF" w:rsidP="00E11B6E">
            <w:pPr>
              <w:autoSpaceDE w:val="0"/>
              <w:autoSpaceDN w:val="0"/>
              <w:adjustRightInd w:val="0"/>
              <w:jc w:val="center"/>
              <w:rPr>
                <w:rFonts w:ascii="Times New Roman" w:eastAsia="Times New Roman" w:hAnsi="Times New Roman" w:cs="Times New Roman"/>
                <w:sz w:val="24"/>
                <w:szCs w:val="24"/>
                <w:lang w:eastAsia="ru-RU"/>
              </w:rPr>
            </w:pPr>
          </w:p>
          <w:p w:rsidR="00E11B6E" w:rsidRPr="00D423B2" w:rsidRDefault="00E11B6E" w:rsidP="00E11B6E">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Объемы прироста запасов, сейсморазведочных работ, поисково-разведочного бурения</w:t>
            </w:r>
          </w:p>
          <w:p w:rsidR="00C74458" w:rsidRPr="00D423B2" w:rsidRDefault="00C74458" w:rsidP="00E11B6E">
            <w:pPr>
              <w:autoSpaceDE w:val="0"/>
              <w:autoSpaceDN w:val="0"/>
              <w:adjustRightInd w:val="0"/>
              <w:jc w:val="center"/>
              <w:rPr>
                <w:rFonts w:ascii="Times New Roman" w:eastAsia="Times New Roman" w:hAnsi="Times New Roman" w:cs="Times New Roman"/>
                <w:sz w:val="24"/>
                <w:szCs w:val="24"/>
                <w:lang w:eastAsia="ru-RU"/>
              </w:rPr>
            </w:pPr>
          </w:p>
          <w:p w:rsidR="00C74458" w:rsidRPr="00D423B2" w:rsidRDefault="00C74458" w:rsidP="009C6A46">
            <w:pPr>
              <w:widowControl w:val="0"/>
              <w:autoSpaceDE w:val="0"/>
              <w:autoSpaceDN w:val="0"/>
              <w:jc w:val="center"/>
              <w:rPr>
                <w:rFonts w:ascii="Times New Roman" w:eastAsia="Times New Roman" w:hAnsi="Times New Roman" w:cs="Times New Roman"/>
                <w:i/>
                <w:sz w:val="24"/>
                <w:szCs w:val="24"/>
                <w:lang w:eastAsia="ru-RU"/>
              </w:rPr>
            </w:pPr>
            <w:r w:rsidRPr="00D423B2">
              <w:rPr>
                <w:rFonts w:ascii="Times New Roman" w:eastAsia="Times New Roman" w:hAnsi="Times New Roman" w:cs="Times New Roman"/>
                <w:i/>
                <w:sz w:val="24"/>
                <w:szCs w:val="24"/>
                <w:lang w:eastAsia="ru-RU"/>
              </w:rPr>
              <w:t>таблица 6 представлена в приложении</w:t>
            </w:r>
          </w:p>
          <w:p w:rsidR="00C74458" w:rsidRPr="00D423B2" w:rsidRDefault="00F47AAF" w:rsidP="00C74458">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C74458" w:rsidRPr="00D423B2">
              <w:rPr>
                <w:rFonts w:ascii="Times New Roman" w:eastAsia="Times New Roman" w:hAnsi="Times New Roman" w:cs="Times New Roman"/>
                <w:sz w:val="24"/>
                <w:szCs w:val="24"/>
                <w:lang w:eastAsia="ru-RU"/>
              </w:rPr>
              <w:t>7</w:t>
            </w:r>
          </w:p>
          <w:p w:rsidR="00C74458" w:rsidRPr="00D423B2" w:rsidRDefault="00C74458" w:rsidP="00C74458">
            <w:pPr>
              <w:autoSpaceDE w:val="0"/>
              <w:autoSpaceDN w:val="0"/>
              <w:adjustRightInd w:val="0"/>
              <w:jc w:val="center"/>
              <w:rPr>
                <w:rFonts w:ascii="Times New Roman" w:eastAsia="Times New Roman" w:hAnsi="Times New Roman" w:cs="Times New Roman"/>
                <w:sz w:val="24"/>
                <w:szCs w:val="24"/>
                <w:lang w:eastAsia="ru-RU"/>
              </w:rPr>
            </w:pPr>
          </w:p>
          <w:p w:rsidR="00C74458" w:rsidRPr="00D423B2" w:rsidRDefault="00C74458" w:rsidP="00C74458">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Объем добычи нефти, эксплуатационного бурения и ввода новых добывающих скважин</w:t>
            </w:r>
          </w:p>
          <w:p w:rsidR="00C74458" w:rsidRPr="00D423B2" w:rsidRDefault="00C74458" w:rsidP="00C74458">
            <w:pPr>
              <w:widowControl w:val="0"/>
              <w:autoSpaceDE w:val="0"/>
              <w:autoSpaceDN w:val="0"/>
              <w:jc w:val="center"/>
              <w:rPr>
                <w:rFonts w:ascii="Times New Roman" w:eastAsia="Times New Roman" w:hAnsi="Times New Roman" w:cs="Times New Roman"/>
                <w:i/>
                <w:sz w:val="24"/>
                <w:szCs w:val="24"/>
                <w:lang w:eastAsia="ru-RU"/>
              </w:rPr>
            </w:pPr>
          </w:p>
          <w:p w:rsidR="00C74458" w:rsidRPr="00D423B2" w:rsidRDefault="00C74458" w:rsidP="00C74458">
            <w:pPr>
              <w:widowControl w:val="0"/>
              <w:autoSpaceDE w:val="0"/>
              <w:autoSpaceDN w:val="0"/>
              <w:jc w:val="center"/>
              <w:rPr>
                <w:rFonts w:ascii="Times New Roman" w:eastAsia="Times New Roman" w:hAnsi="Times New Roman" w:cs="Times New Roman"/>
                <w:i/>
                <w:sz w:val="24"/>
                <w:szCs w:val="24"/>
                <w:lang w:eastAsia="ru-RU"/>
              </w:rPr>
            </w:pPr>
            <w:r w:rsidRPr="00D423B2">
              <w:rPr>
                <w:rFonts w:ascii="Times New Roman" w:eastAsia="Times New Roman" w:hAnsi="Times New Roman" w:cs="Times New Roman"/>
                <w:i/>
                <w:sz w:val="24"/>
                <w:szCs w:val="24"/>
                <w:lang w:eastAsia="ru-RU"/>
              </w:rPr>
              <w:t>таблица 7 представлена в приложении</w:t>
            </w:r>
          </w:p>
          <w:p w:rsidR="00C74458" w:rsidRPr="00D423B2" w:rsidRDefault="00C74458" w:rsidP="00C74458">
            <w:pPr>
              <w:autoSpaceDE w:val="0"/>
              <w:autoSpaceDN w:val="0"/>
              <w:adjustRightInd w:val="0"/>
              <w:rPr>
                <w:rFonts w:ascii="Times New Roman" w:eastAsia="Times New Roman" w:hAnsi="Times New Roman" w:cs="Times New Roman"/>
                <w:sz w:val="24"/>
                <w:szCs w:val="24"/>
                <w:lang w:eastAsia="ru-RU"/>
              </w:rPr>
            </w:pP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Ухудшение структуры запасов нефти по мере истощения действующих месторождений, малых размеров вновь открываемых месторождений, а также технологическое отставание от передового уровня в ряде направлений по извлечению трудноизвлекаемых </w:t>
            </w:r>
            <w:r w:rsidRPr="008C68A5">
              <w:rPr>
                <w:rFonts w:ascii="Times New Roman" w:eastAsia="Times New Roman" w:hAnsi="Times New Roman" w:cs="Times New Roman"/>
                <w:sz w:val="24"/>
                <w:szCs w:val="24"/>
                <w:lang w:eastAsia="ru-RU"/>
              </w:rPr>
              <w:lastRenderedPageBreak/>
              <w:t>запасов нефти (сланцевая, тяжелая) и чрезмерная ориентация на импорт некоторых видов оборудования, технологий, программного обеспечения (вместо развития собственной науки и инженерии) создают реальную угрозу энергетической безопасности топливно-энергетического комплекса Российской Федерации.</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В этих сложных условиях созданные в Республике Татарстан научно-технологические полигоны для апробации и объективной оценки эффективности техники и технологий российских производителей «Доманик» и «Битум», являются стратегической инициативой и должны дать импульс ускорению развития фундаментальных, прикладных научных исследований, созданию и внедрению новейшей отечественной техники и технологий разработки трудноизвлекаемых запасов нефти. Быстрое совершенствование нефтегазовых технологий стало за последнее десятилетие ключевым фактором развития нефтегазовой отрасли.</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Для отработки технологий разработки месторождений с трудноизвлекаемыми запасами создан научный полигон на Восточном борту Мелекесской впадины, включающий 18 месторождений с высоковязкой нефтью с трудноизвлекаемыми запасами.</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Опробованы и предложены для распространения и тиражирования следующие технологии:</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1) ЗАО «Карбон-ойл» создана система разработки Некрасовского месторождения с горизонтальными и многозабойными скважинами.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lastRenderedPageBreak/>
              <w:t xml:space="preserve">2) УК «Шешмаойл» изучен опыт проппантных гидроразрывов карбонатных пластов и влияния сетки скважин на нефтеотдачу пластов и объемы добычи нефти.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3) ЗАО «Татех» результаты гидродинамических исследований ООО «Черный ключ» позволили выбрать направление стволов скважин при горизонтальном бурении на Демкинском месторождении. Производится сгущение сетки скважин на Демкинском месторождении на турнейский ярус и бобриковский горизонт (в настоящее время 300Х300 по прямоугольной сетке).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4) АО «Татнефтепром-Зюзеевнефть» готовит Зюзеевское месторождение для применения тепловых методов, создается постоянно действующая геологическая модель, применяются горизонтальные скважины на Зюзеевском месторождении, на месторождениях ЗАО «Селенгушнефть», имеется возможность уплотнения сетки скважин по мере выработки отдельных пластов. Применяется метод обработки призабойной зоны (далее – ОПЗ) с предварительным восстановлением давления в прискважинной зоне, «циклический отбор и закачка».</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5) ЗАО «Предприятие «Кара-Алтын» детально и углубленно изучено Аканское месторождение с научной точки зрения. Привлечены научные силы Академии наук Республики Татарстан, Сибирского отделения Академии наук, получены результаты работы Плотниковой И.Н и Морозова В.М. по изучению керна (Академии наук Республики Татарстан), Алтуниной Л.К. по адаптации методов </w:t>
            </w:r>
            <w:r w:rsidRPr="008C68A5">
              <w:rPr>
                <w:rFonts w:ascii="Times New Roman" w:eastAsia="Times New Roman" w:hAnsi="Times New Roman" w:cs="Times New Roman"/>
                <w:sz w:val="24"/>
                <w:szCs w:val="24"/>
                <w:lang w:eastAsia="ru-RU"/>
              </w:rPr>
              <w:lastRenderedPageBreak/>
              <w:t xml:space="preserve">(реагентов) для воздействия на пласты и изоляции вертикальных трещин по Аканскому месторождению (Сибирское отделение Академии Наук Российской Федерации) и др.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6) ЗАО «Татнефтеотдача» в настоящее время ведет работу по подготовке Степно-озерского месторождения к применению тепловых методов.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7) АО «ГРИЦ» в целях эффективности применения технологии локального ГРП с зарядом газодинамического разрыва пласта обеспечило прирост дебитов</w:t>
            </w:r>
            <w:r w:rsidRPr="008C68A5">
              <w:rPr>
                <w:rFonts w:ascii="Times New Roman" w:eastAsia="Times New Roman" w:hAnsi="Times New Roman" w:cs="Times New Roman"/>
                <w:sz w:val="24"/>
                <w:szCs w:val="24"/>
                <w:lang w:eastAsia="ru-RU"/>
              </w:rPr>
              <w:br/>
              <w:t>2 – 3 тонны с продолжающимся эффектом.</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8) ГК «Ойлэкт» (ТНГК–Развитие) на Сунчелеевском месторождении применяются технологии высокоскоростной солянокислотной обработки (СКО), большеобъемной солянокислотной обработки (БСКО), внедряются технологии одновременно-раздельной эксплуатации ОРЭ на верей/башкирские отложения.</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В целом новые технологии разведки и разработки активно внедряются всеми МНК. За счет инноваций добывается 23 процента всей нефти МНК.</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Состояние работ по внедрению новых технологий в рамках «работы научного полигона для испытания МУН на Восточном борту Мелекесской впадины» рассмотрено на заседании Координационного совета МНК, и опыт работы МНК в рамках научного полигона признан положительным.</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Для проведения фундаментальных научно-исследовательских и опытно-промышленных работ по исследованию </w:t>
            </w:r>
            <w:r w:rsidRPr="008C68A5">
              <w:rPr>
                <w:rFonts w:ascii="Times New Roman" w:eastAsia="Times New Roman" w:hAnsi="Times New Roman" w:cs="Times New Roman"/>
                <w:sz w:val="24"/>
                <w:szCs w:val="24"/>
                <w:lang w:eastAsia="ru-RU"/>
              </w:rPr>
              <w:lastRenderedPageBreak/>
              <w:t xml:space="preserve">карбонатных и низкопроницаемых коллекторов с высоковязкими нефтями на месторождениях (технологии увеличения нефтеотдачи пластов с использованием газового, водогазового и парогазового, воздействия на пласт, а также применение закачки горячей воды) требуется государственная поддержка МНК (в первую очередь – на месторождениях научного полигона на Восточном борту Мелекесской впадины). </w:t>
            </w:r>
          </w:p>
          <w:p w:rsidR="008C68A5" w:rsidRPr="008C68A5" w:rsidRDefault="008C68A5" w:rsidP="008C68A5">
            <w:pPr>
              <w:autoSpaceDE w:val="0"/>
              <w:autoSpaceDN w:val="0"/>
              <w:adjustRightInd w:val="0"/>
              <w:ind w:firstLine="709"/>
              <w:jc w:val="both"/>
              <w:rPr>
                <w:rFonts w:ascii="Times New Roman" w:eastAsia="Times New Roman" w:hAnsi="Times New Roman" w:cs="Times New Roman"/>
                <w:sz w:val="24"/>
                <w:szCs w:val="24"/>
                <w:lang w:eastAsia="ru-RU"/>
              </w:rPr>
            </w:pPr>
            <w:r w:rsidRPr="008C68A5">
              <w:rPr>
                <w:rFonts w:ascii="Times New Roman" w:eastAsia="Times New Roman" w:hAnsi="Times New Roman" w:cs="Times New Roman"/>
                <w:sz w:val="24"/>
                <w:szCs w:val="24"/>
                <w:lang w:eastAsia="ru-RU"/>
              </w:rPr>
              <w:t xml:space="preserve">Первоочередные резервы прироста запасов и добычи нефти в Республике Татарстан приведены в </w:t>
            </w:r>
            <w:hyperlink w:anchor="P968" w:history="1">
              <w:r w:rsidRPr="008C68A5">
                <w:rPr>
                  <w:rStyle w:val="a9"/>
                  <w:rFonts w:ascii="Times New Roman" w:eastAsia="Times New Roman" w:hAnsi="Times New Roman" w:cs="Times New Roman"/>
                  <w:color w:val="000000" w:themeColor="text1"/>
                  <w:sz w:val="24"/>
                  <w:szCs w:val="24"/>
                  <w:u w:val="none"/>
                  <w:lang w:eastAsia="ru-RU"/>
                </w:rPr>
                <w:t>таблице 8</w:t>
              </w:r>
            </w:hyperlink>
            <w:r w:rsidRPr="008C68A5">
              <w:rPr>
                <w:rFonts w:ascii="Times New Roman" w:eastAsia="Times New Roman" w:hAnsi="Times New Roman" w:cs="Times New Roman"/>
                <w:color w:val="000000" w:themeColor="text1"/>
                <w:sz w:val="24"/>
                <w:szCs w:val="24"/>
                <w:lang w:eastAsia="ru-RU"/>
              </w:rPr>
              <w:t>.</w:t>
            </w:r>
          </w:p>
          <w:p w:rsidR="00C74458" w:rsidRPr="00D423B2" w:rsidRDefault="00C74458" w:rsidP="00C74458">
            <w:pPr>
              <w:autoSpaceDE w:val="0"/>
              <w:autoSpaceDN w:val="0"/>
              <w:adjustRightInd w:val="0"/>
              <w:jc w:val="both"/>
              <w:rPr>
                <w:rFonts w:ascii="Times New Roman" w:eastAsia="Times New Roman" w:hAnsi="Times New Roman" w:cs="Times New Roman"/>
                <w:sz w:val="24"/>
                <w:szCs w:val="24"/>
                <w:lang w:eastAsia="ru-RU"/>
              </w:rPr>
            </w:pPr>
          </w:p>
          <w:p w:rsidR="00C74458" w:rsidRPr="00D423B2" w:rsidRDefault="00F47AAF" w:rsidP="00C74458">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C74458" w:rsidRPr="00D423B2">
              <w:rPr>
                <w:rFonts w:ascii="Times New Roman" w:eastAsia="Times New Roman" w:hAnsi="Times New Roman" w:cs="Times New Roman"/>
                <w:sz w:val="24"/>
                <w:szCs w:val="24"/>
                <w:lang w:eastAsia="ru-RU"/>
              </w:rPr>
              <w:t>8</w:t>
            </w:r>
          </w:p>
          <w:p w:rsidR="00C74458" w:rsidRPr="00D423B2" w:rsidRDefault="00C74458" w:rsidP="00C74458">
            <w:pPr>
              <w:autoSpaceDE w:val="0"/>
              <w:autoSpaceDN w:val="0"/>
              <w:adjustRightInd w:val="0"/>
              <w:jc w:val="both"/>
              <w:rPr>
                <w:rFonts w:ascii="Times New Roman" w:eastAsia="Times New Roman" w:hAnsi="Times New Roman" w:cs="Times New Roman"/>
                <w:sz w:val="24"/>
                <w:szCs w:val="24"/>
                <w:lang w:eastAsia="ru-RU"/>
              </w:rPr>
            </w:pPr>
          </w:p>
          <w:p w:rsidR="00C74458" w:rsidRPr="00D423B2" w:rsidRDefault="00C74458" w:rsidP="00C74458">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Потенциал увеличения запасов углеводородов и нефтедобычи в Республике Татарстан</w:t>
            </w:r>
          </w:p>
          <w:p w:rsidR="00C74458" w:rsidRPr="00D423B2" w:rsidRDefault="00C74458" w:rsidP="00C74458">
            <w:pPr>
              <w:autoSpaceDE w:val="0"/>
              <w:autoSpaceDN w:val="0"/>
              <w:adjustRightInd w:val="0"/>
              <w:ind w:firstLine="709"/>
              <w:jc w:val="both"/>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3406"/>
              <w:gridCol w:w="1613"/>
            </w:tblGrid>
            <w:tr w:rsidR="004D6FB3" w:rsidRPr="004D6FB3" w:rsidTr="00062936">
              <w:tc>
                <w:tcPr>
                  <w:tcW w:w="3393" w:type="pct"/>
                </w:tcPr>
                <w:p w:rsidR="004D6FB3" w:rsidRPr="004D6FB3" w:rsidRDefault="004D6FB3" w:rsidP="004D6FB3">
                  <w:pPr>
                    <w:pStyle w:val="ConsPlusNormal"/>
                    <w:spacing w:before="60" w:after="60"/>
                    <w:jc w:val="center"/>
                    <w:rPr>
                      <w:rFonts w:ascii="Times New Roman" w:hAnsi="Times New Roman" w:cs="Times New Roman"/>
                      <w:sz w:val="16"/>
                      <w:szCs w:val="16"/>
                    </w:rPr>
                  </w:pPr>
                  <w:r w:rsidRPr="004D6FB3">
                    <w:rPr>
                      <w:rFonts w:ascii="Times New Roman" w:hAnsi="Times New Roman" w:cs="Times New Roman"/>
                      <w:sz w:val="16"/>
                      <w:szCs w:val="16"/>
                    </w:rPr>
                    <w:t>Мероприятия и ресурсы</w:t>
                  </w:r>
                </w:p>
              </w:tc>
              <w:tc>
                <w:tcPr>
                  <w:tcW w:w="1607" w:type="pct"/>
                </w:tcPr>
                <w:p w:rsidR="004D6FB3" w:rsidRPr="004D6FB3" w:rsidRDefault="004D6FB3" w:rsidP="004D6FB3">
                  <w:pPr>
                    <w:pStyle w:val="ConsPlusNormal"/>
                    <w:spacing w:before="60" w:after="60"/>
                    <w:jc w:val="center"/>
                    <w:rPr>
                      <w:rFonts w:ascii="Times New Roman" w:hAnsi="Times New Roman" w:cs="Times New Roman"/>
                      <w:sz w:val="16"/>
                      <w:szCs w:val="16"/>
                    </w:rPr>
                  </w:pPr>
                  <w:r w:rsidRPr="004D6FB3">
                    <w:rPr>
                      <w:rFonts w:ascii="Times New Roman" w:hAnsi="Times New Roman" w:cs="Times New Roman"/>
                      <w:sz w:val="16"/>
                      <w:szCs w:val="16"/>
                    </w:rPr>
                    <w:t>Ожидаемые результаты</w:t>
                  </w:r>
                </w:p>
              </w:tc>
            </w:tr>
            <w:tr w:rsidR="004D6FB3" w:rsidRPr="004D6FB3" w:rsidTr="00062936">
              <w:tc>
                <w:tcPr>
                  <w:tcW w:w="5000" w:type="pct"/>
                  <w:gridSpan w:val="2"/>
                </w:tcPr>
                <w:p w:rsidR="004D6FB3" w:rsidRPr="004D6FB3" w:rsidRDefault="004D6FB3" w:rsidP="004D6FB3">
                  <w:pPr>
                    <w:pStyle w:val="ConsPlusNormal"/>
                    <w:spacing w:before="60" w:after="60"/>
                    <w:jc w:val="center"/>
                    <w:outlineLvl w:val="4"/>
                    <w:rPr>
                      <w:rFonts w:ascii="Times New Roman" w:hAnsi="Times New Roman" w:cs="Times New Roman"/>
                      <w:sz w:val="16"/>
                      <w:szCs w:val="16"/>
                    </w:rPr>
                  </w:pPr>
                  <w:r w:rsidRPr="004D6FB3">
                    <w:rPr>
                      <w:rFonts w:ascii="Times New Roman" w:hAnsi="Times New Roman" w:cs="Times New Roman"/>
                      <w:sz w:val="16"/>
                      <w:szCs w:val="16"/>
                    </w:rPr>
                    <w:t>Традиционные нефтяные объекты</w:t>
                  </w:r>
                </w:p>
              </w:tc>
            </w:tr>
            <w:tr w:rsidR="004D6FB3" w:rsidRPr="004D6FB3" w:rsidTr="00062936">
              <w:tc>
                <w:tcPr>
                  <w:tcW w:w="3393" w:type="pct"/>
                </w:tcPr>
                <w:p w:rsidR="004D6FB3" w:rsidRPr="004D6FB3" w:rsidRDefault="004D6FB3" w:rsidP="004D6FB3">
                  <w:pPr>
                    <w:pStyle w:val="ConsPlusNormal"/>
                    <w:spacing w:before="60" w:after="60"/>
                    <w:jc w:val="both"/>
                    <w:rPr>
                      <w:rFonts w:ascii="Times New Roman" w:hAnsi="Times New Roman" w:cs="Times New Roman"/>
                      <w:sz w:val="16"/>
                      <w:szCs w:val="16"/>
                    </w:rPr>
                  </w:pPr>
                  <w:r w:rsidRPr="004D6FB3">
                    <w:rPr>
                      <w:rFonts w:ascii="Times New Roman" w:hAnsi="Times New Roman" w:cs="Times New Roman"/>
                      <w:sz w:val="16"/>
                      <w:szCs w:val="16"/>
                    </w:rPr>
                    <w:t>Инновационное проектирование разработки</w:t>
                  </w:r>
                </w:p>
              </w:tc>
              <w:tc>
                <w:tcPr>
                  <w:tcW w:w="1607" w:type="pct"/>
                </w:tcPr>
                <w:p w:rsidR="004D6FB3" w:rsidRPr="004D6FB3" w:rsidRDefault="004D6FB3" w:rsidP="004D6FB3">
                  <w:pPr>
                    <w:pStyle w:val="ConsPlusNormal"/>
                    <w:spacing w:before="60" w:after="60"/>
                    <w:rPr>
                      <w:rFonts w:ascii="Times New Roman" w:hAnsi="Times New Roman" w:cs="Times New Roman"/>
                      <w:sz w:val="16"/>
                      <w:szCs w:val="16"/>
                    </w:rPr>
                  </w:pPr>
                </w:p>
              </w:tc>
            </w:tr>
            <w:tr w:rsidR="004D6FB3" w:rsidRPr="004D6FB3" w:rsidTr="00062936">
              <w:tc>
                <w:tcPr>
                  <w:tcW w:w="3393" w:type="pct"/>
                </w:tcPr>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По крупнейшим месторождениям, находящимся на поздней стадии разработки:</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применение новых методов геологических исследований пород и пластовых флюидов, новых методов геофизических и гидродинамических интерпретаций скважин;</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создание новых геолого-гидродинамических моделей;</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применение новых систем разработки;</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внедрение новейших МУН на высокообводненных участках залежи, специальных режимов эксплуатации, автоматизированных систем контроля и учета водопотребления;</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разработка способов извлечения части остаточных запасов нефти</w:t>
                  </w:r>
                </w:p>
              </w:tc>
              <w:tc>
                <w:tcPr>
                  <w:tcW w:w="1607" w:type="pct"/>
                </w:tcPr>
                <w:p w:rsidR="004D6FB3" w:rsidRPr="004D6FB3" w:rsidRDefault="004D6FB3" w:rsidP="004D6FB3">
                  <w:pPr>
                    <w:pStyle w:val="ConsPlusNormal"/>
                    <w:spacing w:before="60" w:after="60"/>
                    <w:jc w:val="both"/>
                    <w:rPr>
                      <w:rFonts w:ascii="Times New Roman" w:hAnsi="Times New Roman" w:cs="Times New Roman"/>
                      <w:sz w:val="16"/>
                      <w:szCs w:val="16"/>
                    </w:rPr>
                  </w:pPr>
                  <w:r w:rsidRPr="004D6FB3">
                    <w:rPr>
                      <w:rFonts w:ascii="Times New Roman" w:hAnsi="Times New Roman" w:cs="Times New Roman"/>
                      <w:sz w:val="16"/>
                      <w:szCs w:val="16"/>
                    </w:rPr>
                    <w:t>Прирост извлекаемых запасов около 1 млрд тонн. Увеличение КИН с 0,4 – 0,5 до 0,6 – 0,7</w:t>
                  </w:r>
                </w:p>
              </w:tc>
            </w:tr>
            <w:tr w:rsidR="004D6FB3" w:rsidRPr="004D6FB3" w:rsidTr="00062936">
              <w:tc>
                <w:tcPr>
                  <w:tcW w:w="3393" w:type="pct"/>
                </w:tcPr>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 xml:space="preserve">По мелким и средним месторождениям, </w:t>
                  </w:r>
                  <w:r w:rsidRPr="004D6FB3">
                    <w:rPr>
                      <w:rFonts w:ascii="Times New Roman" w:hAnsi="Times New Roman" w:cs="Times New Roman"/>
                      <w:sz w:val="16"/>
                      <w:szCs w:val="16"/>
                    </w:rPr>
                    <w:lastRenderedPageBreak/>
                    <w:t>дающим более 38 процентов добычи Республике Татарстан:</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разработка залежей в карбонатных коллекторах (балансовые запасы – 2,6 млрд тонн, извлекаемые – 440 млн тонн, КИН – 0,17, от 0,11 до 0,25);</w:t>
                  </w:r>
                </w:p>
                <w:p w:rsidR="004D6FB3" w:rsidRPr="004D6FB3" w:rsidRDefault="004D6FB3" w:rsidP="004D6FB3">
                  <w:pPr>
                    <w:pStyle w:val="ConsPlusNormal"/>
                    <w:spacing w:before="60" w:after="60"/>
                    <w:ind w:right="106"/>
                    <w:jc w:val="both"/>
                    <w:rPr>
                      <w:rFonts w:ascii="Times New Roman" w:hAnsi="Times New Roman" w:cs="Times New Roman"/>
                      <w:sz w:val="16"/>
                      <w:szCs w:val="16"/>
                    </w:rPr>
                  </w:pPr>
                  <w:r w:rsidRPr="004D6FB3">
                    <w:rPr>
                      <w:rFonts w:ascii="Times New Roman" w:hAnsi="Times New Roman" w:cs="Times New Roman"/>
                      <w:sz w:val="16"/>
                      <w:szCs w:val="16"/>
                    </w:rPr>
                    <w:t>разработка залежей нефти повышенной вязкости и высоковязких нефтей (КИН – от 0 до 0,3)</w:t>
                  </w:r>
                </w:p>
              </w:tc>
              <w:tc>
                <w:tcPr>
                  <w:tcW w:w="1607" w:type="pct"/>
                </w:tcPr>
                <w:p w:rsidR="004D6FB3" w:rsidRPr="004D6FB3" w:rsidRDefault="004D6FB3" w:rsidP="004D6FB3">
                  <w:pPr>
                    <w:pStyle w:val="ConsPlusNormal"/>
                    <w:spacing w:before="60" w:after="60"/>
                    <w:jc w:val="both"/>
                    <w:rPr>
                      <w:rFonts w:ascii="Times New Roman" w:hAnsi="Times New Roman" w:cs="Times New Roman"/>
                      <w:sz w:val="16"/>
                      <w:szCs w:val="16"/>
                    </w:rPr>
                  </w:pPr>
                  <w:r w:rsidRPr="004D6FB3">
                    <w:rPr>
                      <w:rFonts w:ascii="Times New Roman" w:hAnsi="Times New Roman" w:cs="Times New Roman"/>
                      <w:sz w:val="16"/>
                      <w:szCs w:val="16"/>
                    </w:rPr>
                    <w:lastRenderedPageBreak/>
                    <w:t xml:space="preserve">Прирост </w:t>
                  </w:r>
                  <w:r w:rsidRPr="004D6FB3">
                    <w:rPr>
                      <w:rFonts w:ascii="Times New Roman" w:hAnsi="Times New Roman" w:cs="Times New Roman"/>
                      <w:sz w:val="16"/>
                      <w:szCs w:val="16"/>
                    </w:rPr>
                    <w:lastRenderedPageBreak/>
                    <w:t>извлекаемых запасов на 400 млн тонн. Увеличение КИН до 0,25 – 0,4</w:t>
                  </w:r>
                </w:p>
              </w:tc>
            </w:tr>
          </w:tbl>
          <w:p w:rsidR="00C74458" w:rsidRPr="00D423B2" w:rsidRDefault="00C74458" w:rsidP="00E11B6E">
            <w:pPr>
              <w:autoSpaceDE w:val="0"/>
              <w:autoSpaceDN w:val="0"/>
              <w:adjustRightInd w:val="0"/>
              <w:jc w:val="center"/>
              <w:rPr>
                <w:rFonts w:ascii="Times New Roman" w:eastAsia="Times New Roman" w:hAnsi="Times New Roman" w:cs="Times New Roman"/>
                <w:sz w:val="24"/>
                <w:szCs w:val="24"/>
                <w:lang w:eastAsia="ru-RU"/>
              </w:rPr>
            </w:pPr>
          </w:p>
          <w:p w:rsidR="004B10B0" w:rsidRPr="00D423B2" w:rsidRDefault="004B10B0" w:rsidP="004B10B0">
            <w:pPr>
              <w:autoSpaceDE w:val="0"/>
              <w:autoSpaceDN w:val="0"/>
              <w:adjustRightInd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3.4. Развитие нефтедобычи в Республике Татарстан</w:t>
            </w:r>
          </w:p>
          <w:p w:rsidR="004B10B0" w:rsidRPr="00D423B2" w:rsidRDefault="004B10B0" w:rsidP="004B10B0">
            <w:pPr>
              <w:autoSpaceDE w:val="0"/>
              <w:autoSpaceDN w:val="0"/>
              <w:adjustRightInd w:val="0"/>
              <w:ind w:firstLine="709"/>
              <w:jc w:val="both"/>
              <w:rPr>
                <w:rFonts w:ascii="Times New Roman" w:eastAsia="Times New Roman" w:hAnsi="Times New Roman" w:cs="Times New Roman"/>
                <w:sz w:val="24"/>
                <w:szCs w:val="24"/>
                <w:lang w:eastAsia="ru-RU"/>
              </w:rPr>
            </w:pP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Дальнейшее развитие нефтедобычи на месторождениях, находящихся на поздней стадии разработки, связано с решением задач:</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повышения нефтеизвлечения дренируемых запасов;</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обеспечения ввода в активную разработку трудноизвлекаемых запасов нефти путем внедрения третичных методов увеличения нефтеотдачи пластов.</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Широкое применение осваиваемых нефтяными компаниями Татарстана технологий горизонтального бурения (горизонтальные скважины, разветвленные горизонтальные скважины, боковые стволы), бурения скважин по уплотненной сетке, одновременно-раздельной эксплуатации скважин и тепловых методов позволяют эффективно наращивать добычу нефти из дренируемых запасов.</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 xml:space="preserve">На малоэффективных месторождениях с трудноизвлекаемыми запасами нефти необходимы совершенно новые подходы к разработке. Главным условием обеспечения их рентабельной разработки является выделение оптимальных размеров эксплуатационных </w:t>
            </w:r>
            <w:r w:rsidRPr="00641803">
              <w:rPr>
                <w:rFonts w:ascii="Times New Roman" w:eastAsia="Times New Roman" w:hAnsi="Times New Roman" w:cs="Times New Roman"/>
                <w:sz w:val="24"/>
                <w:szCs w:val="24"/>
                <w:lang w:eastAsia="ru-RU"/>
              </w:rPr>
              <w:lastRenderedPageBreak/>
              <w:t>объектов с близкими коллекторскими свойствами, типом коллекторов и насыщающих их флюидов. В условиях Республики Татарстан наибольшее применение нашли разработанные специалистами Татарстана комплексные технологии повышения эффективности разработки залежей нефти:</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в слабопроницаемых и глинистых терригенных коллекторах;</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в терригенных коллекторах, содержащих ВВН;</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в карбонатных коллекторах.</w:t>
            </w:r>
          </w:p>
          <w:p w:rsidR="00641803" w:rsidRPr="00641803" w:rsidRDefault="00641803" w:rsidP="00641803">
            <w:pPr>
              <w:autoSpaceDE w:val="0"/>
              <w:autoSpaceDN w:val="0"/>
              <w:adjustRightInd w:val="0"/>
              <w:ind w:firstLine="709"/>
              <w:jc w:val="both"/>
              <w:rPr>
                <w:rFonts w:ascii="Times New Roman" w:eastAsia="Times New Roman" w:hAnsi="Times New Roman" w:cs="Times New Roman"/>
                <w:sz w:val="24"/>
                <w:szCs w:val="24"/>
                <w:lang w:eastAsia="ru-RU"/>
              </w:rPr>
            </w:pPr>
            <w:r w:rsidRPr="00641803">
              <w:rPr>
                <w:rFonts w:ascii="Times New Roman" w:eastAsia="Times New Roman" w:hAnsi="Times New Roman" w:cs="Times New Roman"/>
                <w:sz w:val="24"/>
                <w:szCs w:val="24"/>
                <w:lang w:eastAsia="ru-RU"/>
              </w:rPr>
              <w:t xml:space="preserve">Планируемые до 2030 года объемы дополнительной добычи нефти за счет МУН и ОПЗ показаны соответственно на </w:t>
            </w:r>
            <w:hyperlink w:anchor="P1002" w:history="1">
              <w:r w:rsidRPr="00641803">
                <w:rPr>
                  <w:rStyle w:val="a9"/>
                  <w:rFonts w:ascii="Times New Roman" w:eastAsia="Times New Roman" w:hAnsi="Times New Roman" w:cs="Times New Roman"/>
                  <w:color w:val="000000" w:themeColor="text1"/>
                  <w:sz w:val="24"/>
                  <w:szCs w:val="24"/>
                  <w:u w:val="none"/>
                  <w:lang w:eastAsia="ru-RU"/>
                </w:rPr>
                <w:t>рисунке 6</w:t>
              </w:r>
            </w:hyperlink>
            <w:r w:rsidRPr="00641803">
              <w:rPr>
                <w:rFonts w:ascii="Times New Roman" w:eastAsia="Times New Roman" w:hAnsi="Times New Roman" w:cs="Times New Roman"/>
                <w:color w:val="000000" w:themeColor="text1"/>
                <w:sz w:val="24"/>
                <w:szCs w:val="24"/>
                <w:lang w:eastAsia="ru-RU"/>
              </w:rPr>
              <w:t>.</w:t>
            </w:r>
          </w:p>
          <w:p w:rsidR="00C24BD6" w:rsidRPr="00D423B2" w:rsidRDefault="003D5EDD" w:rsidP="00800AB5">
            <w:pPr>
              <w:autoSpaceDE w:val="0"/>
              <w:autoSpaceDN w:val="0"/>
              <w:adjustRightInd w:val="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           </w:t>
            </w:r>
          </w:p>
          <w:p w:rsidR="00E11B6E" w:rsidRPr="00D423B2" w:rsidRDefault="00E11B6E" w:rsidP="00036314">
            <w:pPr>
              <w:autoSpaceDE w:val="0"/>
              <w:autoSpaceDN w:val="0"/>
              <w:adjustRightInd w:val="0"/>
              <w:ind w:firstLine="709"/>
              <w:jc w:val="both"/>
              <w:rPr>
                <w:rFonts w:ascii="Times New Roman" w:eastAsia="Times New Roman" w:hAnsi="Times New Roman" w:cs="Times New Roman"/>
                <w:sz w:val="24"/>
                <w:szCs w:val="24"/>
                <w:lang w:eastAsia="ru-RU"/>
              </w:rPr>
            </w:pPr>
          </w:p>
          <w:p w:rsidR="00036314" w:rsidRPr="00D423B2" w:rsidRDefault="002E6E65" w:rsidP="00D72B86">
            <w:pPr>
              <w:autoSpaceDE w:val="0"/>
              <w:autoSpaceDN w:val="0"/>
              <w:adjustRightInd w:val="0"/>
              <w:ind w:firstLine="709"/>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1448ED18" wp14:editId="4CBC71DB">
                  <wp:extent cx="2529840" cy="1518285"/>
                  <wp:effectExtent l="0" t="0" r="3810" b="571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29840" cy="1518285"/>
                          </a:xfrm>
                          <a:prstGeom prst="rect">
                            <a:avLst/>
                          </a:prstGeom>
                          <a:noFill/>
                        </pic:spPr>
                      </pic:pic>
                    </a:graphicData>
                  </a:graphic>
                </wp:inline>
              </w:drawing>
            </w:r>
          </w:p>
          <w:p w:rsidR="00036314" w:rsidRPr="00D423B2" w:rsidRDefault="00036314" w:rsidP="00716A28">
            <w:pPr>
              <w:autoSpaceDE w:val="0"/>
              <w:autoSpaceDN w:val="0"/>
              <w:adjustRightInd w:val="0"/>
              <w:jc w:val="both"/>
              <w:rPr>
                <w:rFonts w:ascii="Times New Roman" w:eastAsia="Times New Roman" w:hAnsi="Times New Roman" w:cs="Times New Roman"/>
                <w:sz w:val="16"/>
                <w:szCs w:val="16"/>
                <w:lang w:eastAsia="ru-RU"/>
              </w:rPr>
            </w:pPr>
          </w:p>
          <w:p w:rsidR="00641803" w:rsidRPr="00641803" w:rsidRDefault="00641803" w:rsidP="00641803">
            <w:pPr>
              <w:autoSpaceDE w:val="0"/>
              <w:autoSpaceDN w:val="0"/>
              <w:adjustRightInd w:val="0"/>
              <w:ind w:firstLine="709"/>
              <w:jc w:val="center"/>
              <w:rPr>
                <w:rFonts w:ascii="Times New Roman" w:eastAsia="Times New Roman" w:hAnsi="Times New Roman" w:cs="Times New Roman"/>
                <w:sz w:val="16"/>
                <w:szCs w:val="16"/>
                <w:lang w:eastAsia="ru-RU"/>
              </w:rPr>
            </w:pPr>
            <w:r w:rsidRPr="00641803">
              <w:rPr>
                <w:rFonts w:ascii="Times New Roman" w:eastAsia="Times New Roman" w:hAnsi="Times New Roman" w:cs="Times New Roman"/>
                <w:sz w:val="16"/>
                <w:szCs w:val="16"/>
                <w:lang w:eastAsia="ru-RU"/>
              </w:rPr>
              <w:t>Рис. 6. Планируемые до 2030 года объемы дополнительной</w:t>
            </w:r>
          </w:p>
          <w:p w:rsidR="00641803" w:rsidRPr="00641803" w:rsidRDefault="00641803" w:rsidP="00641803">
            <w:pPr>
              <w:autoSpaceDE w:val="0"/>
              <w:autoSpaceDN w:val="0"/>
              <w:adjustRightInd w:val="0"/>
              <w:ind w:firstLine="709"/>
              <w:jc w:val="center"/>
              <w:rPr>
                <w:rFonts w:ascii="Times New Roman" w:eastAsia="Times New Roman" w:hAnsi="Times New Roman" w:cs="Times New Roman"/>
                <w:sz w:val="16"/>
                <w:szCs w:val="16"/>
                <w:lang w:eastAsia="ru-RU"/>
              </w:rPr>
            </w:pPr>
            <w:r w:rsidRPr="00641803">
              <w:rPr>
                <w:rFonts w:ascii="Times New Roman" w:eastAsia="Times New Roman" w:hAnsi="Times New Roman" w:cs="Times New Roman"/>
                <w:sz w:val="16"/>
                <w:szCs w:val="16"/>
                <w:lang w:eastAsia="ru-RU"/>
              </w:rPr>
              <w:t>добычи нефти за счет МУН и ОПЗ</w:t>
            </w:r>
          </w:p>
          <w:p w:rsidR="00641803" w:rsidRDefault="00641803" w:rsidP="00716A28">
            <w:pPr>
              <w:autoSpaceDE w:val="0"/>
              <w:autoSpaceDN w:val="0"/>
              <w:adjustRightInd w:val="0"/>
              <w:ind w:firstLine="709"/>
              <w:jc w:val="both"/>
              <w:rPr>
                <w:rFonts w:ascii="Times New Roman" w:eastAsia="Times New Roman" w:hAnsi="Times New Roman" w:cs="Times New Roman"/>
                <w:sz w:val="24"/>
                <w:szCs w:val="24"/>
                <w:lang w:eastAsia="ru-RU"/>
              </w:rPr>
            </w:pPr>
          </w:p>
          <w:p w:rsidR="00185995" w:rsidRPr="00185995" w:rsidRDefault="00185995" w:rsidP="00185995">
            <w:pPr>
              <w:autoSpaceDE w:val="0"/>
              <w:autoSpaceDN w:val="0"/>
              <w:adjustRightInd w:val="0"/>
              <w:ind w:firstLine="709"/>
              <w:jc w:val="both"/>
              <w:rPr>
                <w:rFonts w:ascii="Times New Roman" w:eastAsia="Times New Roman" w:hAnsi="Times New Roman" w:cs="Times New Roman"/>
                <w:sz w:val="24"/>
                <w:szCs w:val="24"/>
                <w:lang w:eastAsia="ru-RU"/>
              </w:rPr>
            </w:pPr>
            <w:r w:rsidRPr="00185995">
              <w:rPr>
                <w:rFonts w:ascii="Times New Roman" w:eastAsia="Times New Roman" w:hAnsi="Times New Roman" w:cs="Times New Roman"/>
                <w:sz w:val="24"/>
                <w:szCs w:val="24"/>
                <w:lang w:eastAsia="ru-RU"/>
              </w:rPr>
              <w:t xml:space="preserve">На </w:t>
            </w:r>
            <w:hyperlink w:anchor="P1009" w:history="1">
              <w:r w:rsidRPr="00185995">
                <w:rPr>
                  <w:rStyle w:val="a9"/>
                  <w:rFonts w:ascii="Times New Roman" w:eastAsia="Times New Roman" w:hAnsi="Times New Roman" w:cs="Times New Roman"/>
                  <w:color w:val="000000" w:themeColor="text1"/>
                  <w:sz w:val="24"/>
                  <w:szCs w:val="24"/>
                  <w:u w:val="none"/>
                  <w:lang w:eastAsia="ru-RU"/>
                </w:rPr>
                <w:t>рисунке 7</w:t>
              </w:r>
            </w:hyperlink>
            <w:r w:rsidRPr="00185995">
              <w:rPr>
                <w:rFonts w:ascii="Times New Roman" w:eastAsia="Times New Roman" w:hAnsi="Times New Roman" w:cs="Times New Roman"/>
                <w:color w:val="000000" w:themeColor="text1"/>
                <w:sz w:val="24"/>
                <w:szCs w:val="24"/>
                <w:lang w:eastAsia="ru-RU"/>
              </w:rPr>
              <w:t xml:space="preserve"> </w:t>
            </w:r>
            <w:r w:rsidRPr="00185995">
              <w:rPr>
                <w:rFonts w:ascii="Times New Roman" w:eastAsia="Times New Roman" w:hAnsi="Times New Roman" w:cs="Times New Roman"/>
                <w:sz w:val="24"/>
                <w:szCs w:val="24"/>
                <w:lang w:eastAsia="ru-RU"/>
              </w:rPr>
              <w:t>приведены направления обеспечения воспроизводства запасов по МНК до 2030 года.</w:t>
            </w:r>
          </w:p>
          <w:p w:rsidR="003857EE" w:rsidRPr="00D423B2" w:rsidRDefault="00921DED" w:rsidP="00913BFC">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lastRenderedPageBreak/>
              <w:drawing>
                <wp:inline distT="0" distB="0" distL="0" distR="0" wp14:anchorId="7468CAFA" wp14:editId="733FD2A7">
                  <wp:extent cx="2371725" cy="118872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71725" cy="1188720"/>
                          </a:xfrm>
                          <a:prstGeom prst="rect">
                            <a:avLst/>
                          </a:prstGeom>
                          <a:noFill/>
                        </pic:spPr>
                      </pic:pic>
                    </a:graphicData>
                  </a:graphic>
                </wp:inline>
              </w:drawing>
            </w:r>
          </w:p>
          <w:p w:rsidR="0049729B" w:rsidRPr="00D423B2" w:rsidRDefault="0049729B" w:rsidP="007C4D8D">
            <w:pPr>
              <w:autoSpaceDE w:val="0"/>
              <w:autoSpaceDN w:val="0"/>
              <w:adjustRightInd w:val="0"/>
              <w:jc w:val="center"/>
              <w:rPr>
                <w:rFonts w:ascii="Times New Roman" w:eastAsia="Times New Roman" w:hAnsi="Times New Roman" w:cs="Times New Roman"/>
                <w:sz w:val="16"/>
                <w:szCs w:val="16"/>
                <w:lang w:eastAsia="ru-RU"/>
              </w:rPr>
            </w:pPr>
          </w:p>
          <w:p w:rsidR="005D42B9" w:rsidRPr="005D42B9" w:rsidRDefault="005D42B9" w:rsidP="005D42B9">
            <w:pPr>
              <w:autoSpaceDE w:val="0"/>
              <w:autoSpaceDN w:val="0"/>
              <w:adjustRightInd w:val="0"/>
              <w:jc w:val="center"/>
              <w:rPr>
                <w:rFonts w:ascii="Times New Roman" w:eastAsia="Times New Roman" w:hAnsi="Times New Roman" w:cs="Times New Roman"/>
                <w:sz w:val="16"/>
                <w:szCs w:val="16"/>
                <w:lang w:eastAsia="ru-RU"/>
              </w:rPr>
            </w:pPr>
            <w:r w:rsidRPr="005D42B9">
              <w:rPr>
                <w:rFonts w:ascii="Times New Roman" w:eastAsia="Times New Roman" w:hAnsi="Times New Roman" w:cs="Times New Roman"/>
                <w:sz w:val="16"/>
                <w:szCs w:val="16"/>
                <w:lang w:eastAsia="ru-RU"/>
              </w:rPr>
              <w:t>Рис. 7. Направления обеспечения воспроизводства запасов по МНК</w:t>
            </w:r>
          </w:p>
          <w:p w:rsidR="007C4D8D" w:rsidRPr="00D423B2" w:rsidRDefault="007C4D8D" w:rsidP="00913BFC">
            <w:pPr>
              <w:jc w:val="center"/>
              <w:rPr>
                <w:rFonts w:ascii="Times New Roman" w:hAnsi="Times New Roman" w:cs="Times New Roman"/>
                <w:sz w:val="24"/>
                <w:szCs w:val="24"/>
              </w:rPr>
            </w:pPr>
          </w:p>
          <w:p w:rsidR="00F26B05" w:rsidRPr="00D423B2" w:rsidRDefault="00F26B05" w:rsidP="00F26B05">
            <w:pPr>
              <w:autoSpaceDE w:val="0"/>
              <w:autoSpaceDN w:val="0"/>
              <w:adjustRightInd w:val="0"/>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Перспективный объем добычи нефти, по экспертным данным Академии наук Республики Татарстан, в целом по республике, по ПАО «Татнефть» и МНК представлен на </w:t>
            </w:r>
            <w:hyperlink w:anchor="P1016" w:history="1">
              <w:r w:rsidRPr="00D423B2">
                <w:rPr>
                  <w:rFonts w:ascii="Times New Roman" w:eastAsia="Times New Roman" w:hAnsi="Times New Roman" w:cs="Times New Roman"/>
                  <w:sz w:val="24"/>
                  <w:szCs w:val="24"/>
                  <w:lang w:eastAsia="ru-RU"/>
                </w:rPr>
                <w:t>рисунке 9</w:t>
              </w:r>
            </w:hyperlink>
            <w:r w:rsidRPr="00D423B2">
              <w:rPr>
                <w:rFonts w:ascii="Times New Roman" w:eastAsia="Times New Roman" w:hAnsi="Times New Roman" w:cs="Times New Roman"/>
                <w:sz w:val="24"/>
                <w:szCs w:val="24"/>
                <w:lang w:eastAsia="ru-RU"/>
              </w:rPr>
              <w:t xml:space="preserve">. </w:t>
            </w:r>
          </w:p>
          <w:p w:rsidR="00F26B05" w:rsidRPr="00D423B2" w:rsidRDefault="00F26B05" w:rsidP="00913BFC">
            <w:pPr>
              <w:jc w:val="center"/>
              <w:rPr>
                <w:rFonts w:ascii="Times New Roman" w:hAnsi="Times New Roman" w:cs="Times New Roman"/>
                <w:sz w:val="24"/>
                <w:szCs w:val="24"/>
              </w:rPr>
            </w:pPr>
          </w:p>
          <w:p w:rsidR="00613C4D" w:rsidRPr="00D423B2" w:rsidRDefault="00613C4D" w:rsidP="00913BFC">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728137FE" wp14:editId="624DF7B1">
                  <wp:extent cx="2590800" cy="137795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90800" cy="1377950"/>
                          </a:xfrm>
                          <a:prstGeom prst="rect">
                            <a:avLst/>
                          </a:prstGeom>
                          <a:noFill/>
                        </pic:spPr>
                      </pic:pic>
                    </a:graphicData>
                  </a:graphic>
                </wp:inline>
              </w:drawing>
            </w:r>
          </w:p>
          <w:p w:rsidR="00452886" w:rsidRPr="00D423B2" w:rsidRDefault="00452886" w:rsidP="00913BFC">
            <w:pPr>
              <w:jc w:val="center"/>
              <w:rPr>
                <w:rFonts w:ascii="Times New Roman" w:hAnsi="Times New Roman" w:cs="Times New Roman"/>
                <w:sz w:val="16"/>
                <w:szCs w:val="16"/>
              </w:rPr>
            </w:pPr>
          </w:p>
          <w:p w:rsidR="00241E5E" w:rsidRPr="00241E5E" w:rsidRDefault="00241E5E" w:rsidP="00241E5E">
            <w:pPr>
              <w:jc w:val="center"/>
              <w:rPr>
                <w:rFonts w:ascii="Times New Roman" w:hAnsi="Times New Roman" w:cs="Times New Roman"/>
                <w:sz w:val="16"/>
                <w:szCs w:val="16"/>
              </w:rPr>
            </w:pPr>
            <w:r w:rsidRPr="00241E5E">
              <w:rPr>
                <w:rFonts w:ascii="Times New Roman" w:hAnsi="Times New Roman" w:cs="Times New Roman"/>
                <w:sz w:val="16"/>
                <w:szCs w:val="16"/>
              </w:rPr>
              <w:t>Рис. 8. Добыча нефти по Республике Татарстан до 2030 года, млн тонн</w:t>
            </w:r>
          </w:p>
          <w:p w:rsidR="00841C90" w:rsidRPr="00D423B2" w:rsidRDefault="00841C90" w:rsidP="00913BFC">
            <w:pPr>
              <w:jc w:val="center"/>
              <w:rPr>
                <w:rFonts w:ascii="Times New Roman" w:hAnsi="Times New Roman" w:cs="Times New Roman"/>
                <w:sz w:val="16"/>
                <w:szCs w:val="16"/>
              </w:rPr>
            </w:pP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В целях обеспечения устойчивой нефтедобычи, расширенного воспроизводства запасов углеводородного сырья необходимо:</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провести всем МНК детальный анализ фактического состояния дел с приростом запасов за счет ГРР, повышения КИН, определив реальные приросты за счет ГРР и реальные извлекаемые запасы при выполнении принятых проектных решений по имеющимся методам;</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lastRenderedPageBreak/>
              <w:t>провести детальный анализ извлекаемых запасов по месторождениям с дифференциацией их по выделенным группам и категориям;</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уточнить геолого-гидродинамические модели с новым подходом;</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запроектировать на этой основе новые системы разработки, обеспечивающие как минимум утвержденные значения КИН, либо более высокие с учетом новых инновационных подходов. Одновременно необходимо провести работу по объективной оценке дополнительной добычи отдельно за счет МУН и ОПЗ.</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 xml:space="preserve">Для определения адресной стратегии развития все МНК Республики Татарстан можно разделить на три категории </w:t>
            </w:r>
            <w:hyperlink w:anchor="P1030" w:history="1">
              <w:r w:rsidRPr="00241E5E">
                <w:rPr>
                  <w:rStyle w:val="a9"/>
                  <w:rFonts w:ascii="Times New Roman" w:eastAsia="Times New Roman" w:hAnsi="Times New Roman" w:cs="Times New Roman"/>
                  <w:color w:val="000000" w:themeColor="text1"/>
                  <w:sz w:val="24"/>
                  <w:szCs w:val="24"/>
                  <w:u w:val="none"/>
                  <w:lang w:eastAsia="ru-RU"/>
                </w:rPr>
                <w:t>(таблица 9)</w:t>
              </w:r>
            </w:hyperlink>
            <w:r w:rsidRPr="00241E5E">
              <w:rPr>
                <w:rFonts w:ascii="Times New Roman" w:eastAsia="Times New Roman" w:hAnsi="Times New Roman" w:cs="Times New Roman"/>
                <w:color w:val="000000" w:themeColor="text1"/>
                <w:sz w:val="24"/>
                <w:szCs w:val="24"/>
                <w:lang w:eastAsia="ru-RU"/>
              </w:rPr>
              <w:t>:</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низкие темпы разработки и достаточно высокая степень обеспеченности запасами нефти;</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сравнительно высокие темпы разработки при низкой обеспеченности запасами нефти;</w:t>
            </w:r>
          </w:p>
          <w:p w:rsidR="00241E5E" w:rsidRPr="00241E5E" w:rsidRDefault="00241E5E" w:rsidP="00241E5E">
            <w:pPr>
              <w:autoSpaceDE w:val="0"/>
              <w:autoSpaceDN w:val="0"/>
              <w:adjustRightInd w:val="0"/>
              <w:ind w:firstLine="709"/>
              <w:jc w:val="both"/>
              <w:rPr>
                <w:rFonts w:ascii="Times New Roman" w:eastAsia="Times New Roman" w:hAnsi="Times New Roman" w:cs="Times New Roman"/>
                <w:sz w:val="24"/>
                <w:szCs w:val="24"/>
                <w:lang w:eastAsia="ru-RU"/>
              </w:rPr>
            </w:pPr>
            <w:r w:rsidRPr="00241E5E">
              <w:rPr>
                <w:rFonts w:ascii="Times New Roman" w:eastAsia="Times New Roman" w:hAnsi="Times New Roman" w:cs="Times New Roman"/>
                <w:sz w:val="24"/>
                <w:szCs w:val="24"/>
                <w:lang w:eastAsia="ru-RU"/>
              </w:rPr>
              <w:t>крайне низкие темпы разработки при высокой обеспеченности запасами нефти.</w:t>
            </w:r>
          </w:p>
          <w:p w:rsidR="00AB672D" w:rsidRPr="00D423B2" w:rsidRDefault="00AB672D" w:rsidP="00841C90">
            <w:pPr>
              <w:autoSpaceDE w:val="0"/>
              <w:autoSpaceDN w:val="0"/>
              <w:adjustRightInd w:val="0"/>
              <w:ind w:firstLine="709"/>
              <w:jc w:val="both"/>
              <w:rPr>
                <w:rFonts w:ascii="Times New Roman" w:eastAsia="Times New Roman" w:hAnsi="Times New Roman" w:cs="Times New Roman"/>
                <w:sz w:val="24"/>
                <w:szCs w:val="24"/>
                <w:lang w:eastAsia="ru-RU"/>
              </w:rPr>
            </w:pPr>
          </w:p>
          <w:p w:rsidR="00AB672D" w:rsidRPr="00D423B2" w:rsidRDefault="00B55882" w:rsidP="00AB672D">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AB672D" w:rsidRPr="00D423B2">
              <w:rPr>
                <w:rFonts w:ascii="Times New Roman" w:eastAsia="Times New Roman" w:hAnsi="Times New Roman" w:cs="Times New Roman"/>
                <w:sz w:val="24"/>
                <w:szCs w:val="24"/>
                <w:lang w:eastAsia="ru-RU"/>
              </w:rPr>
              <w:t>9</w:t>
            </w:r>
          </w:p>
          <w:p w:rsidR="00AB672D" w:rsidRPr="00D423B2" w:rsidRDefault="00AB672D" w:rsidP="00AB672D">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 </w:t>
            </w:r>
          </w:p>
          <w:p w:rsidR="00AB672D" w:rsidRPr="00D423B2" w:rsidRDefault="00AB672D" w:rsidP="00AB672D">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Характеристика МНК Республики Татарстан в разрезе категорий</w:t>
            </w:r>
          </w:p>
          <w:p w:rsidR="00180277" w:rsidRPr="00D423B2" w:rsidRDefault="00180277" w:rsidP="00AB672D">
            <w:pPr>
              <w:autoSpaceDE w:val="0"/>
              <w:autoSpaceDN w:val="0"/>
              <w:adjustRightInd w:val="0"/>
              <w:jc w:val="center"/>
              <w:rPr>
                <w:rFonts w:ascii="Times New Roman" w:eastAsia="Times New Roman" w:hAnsi="Times New Roman" w:cs="Times New Roman"/>
                <w:sz w:val="24"/>
                <w:szCs w:val="24"/>
                <w:lang w:eastAsia="ru-RU"/>
              </w:rPr>
            </w:pPr>
          </w:p>
          <w:p w:rsidR="00180277" w:rsidRPr="00D423B2" w:rsidRDefault="00180277" w:rsidP="00AB672D">
            <w:pPr>
              <w:autoSpaceDE w:val="0"/>
              <w:autoSpaceDN w:val="0"/>
              <w:adjustRightInd w:val="0"/>
              <w:jc w:val="center"/>
              <w:rPr>
                <w:rFonts w:ascii="Times New Roman" w:eastAsia="Times New Roman" w:hAnsi="Times New Roman" w:cs="Times New Roman"/>
                <w:i/>
                <w:sz w:val="24"/>
                <w:szCs w:val="24"/>
                <w:lang w:eastAsia="ru-RU"/>
              </w:rPr>
            </w:pPr>
            <w:r w:rsidRPr="00D423B2">
              <w:rPr>
                <w:rFonts w:ascii="Times New Roman" w:eastAsia="Times New Roman" w:hAnsi="Times New Roman" w:cs="Times New Roman"/>
                <w:i/>
                <w:sz w:val="24"/>
                <w:szCs w:val="24"/>
                <w:lang w:eastAsia="ru-RU"/>
              </w:rPr>
              <w:t>таблица 9 представлена в приложении</w:t>
            </w:r>
          </w:p>
          <w:p w:rsidR="007A7277" w:rsidRDefault="008977B6" w:rsidP="00062936">
            <w:pPr>
              <w:autoSpaceDE w:val="0"/>
              <w:autoSpaceDN w:val="0"/>
              <w:adjustRightInd w:val="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          </w:t>
            </w:r>
          </w:p>
          <w:p w:rsidR="007A7277" w:rsidRPr="007A7277" w:rsidRDefault="007A7277" w:rsidP="007A7277">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7A7277">
              <w:rPr>
                <w:rFonts w:ascii="Times New Roman" w:eastAsia="Times New Roman" w:hAnsi="Times New Roman" w:cs="Times New Roman"/>
                <w:sz w:val="24"/>
                <w:szCs w:val="24"/>
                <w:lang w:eastAsia="ru-RU"/>
              </w:rPr>
              <w:t>Основной задачей первой группы МНК является работа по повышению темпов разработки эксплуатационных объектов до 5 – 6 процентов отбора от начальных извлекаемых запасов в год. Это может быть обеспечено за счет увеличения соотношения количества нагнетательных скважин к добывающим, широкого применения наиболее эффективных МУН и ОПЗ.</w:t>
            </w:r>
          </w:p>
          <w:p w:rsidR="007A7277" w:rsidRPr="007A7277" w:rsidRDefault="007A7277" w:rsidP="007A7277">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7A7277">
              <w:rPr>
                <w:rFonts w:ascii="Times New Roman" w:eastAsia="Times New Roman" w:hAnsi="Times New Roman" w:cs="Times New Roman"/>
                <w:sz w:val="24"/>
                <w:szCs w:val="24"/>
                <w:lang w:eastAsia="ru-RU"/>
              </w:rPr>
              <w:t>Для второй группы МНК наряду с выполнением запланированных объемов ГРР актуально применение МУН, наиболее адекватно соответствующих геологическому строению месторождений. В данном случае необходимо проведение анализа эффективности применения МУН в данных геологических условиях – выбор наиболее эффективных из них и составление специальных проектов их внедрения. Все это позволит увеличить извлекаемые запасы нефти. Одновременно необходимо пересмотреть фонд скважин для составления мероприятий по доразведке эксплуатируемых месторождений.</w:t>
            </w:r>
          </w:p>
          <w:p w:rsidR="007A7277" w:rsidRPr="007A7277" w:rsidRDefault="007A7277" w:rsidP="007A7277">
            <w:pPr>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7A7277">
              <w:rPr>
                <w:rFonts w:ascii="Times New Roman" w:eastAsia="Times New Roman" w:hAnsi="Times New Roman" w:cs="Times New Roman"/>
                <w:sz w:val="24"/>
                <w:szCs w:val="24"/>
                <w:lang w:eastAsia="ru-RU"/>
              </w:rPr>
              <w:t>Третья группа МНК осваивает наиболее сложные месторождения. Здесь необходимо составление двух – трех проектов инновационной разработки с проведением фундаментальных исследований нефтевытеснения на материалах (керн, пластовые флюиды, пробуренные скважины) конкретных проблемных месторождений. По результатам этих работ можно будет сделать вывод о дальнейшей судьбе месторождений данной группы.</w:t>
            </w:r>
          </w:p>
          <w:p w:rsidR="00062936" w:rsidRPr="00D423B2" w:rsidRDefault="00062936" w:rsidP="007F312D">
            <w:pPr>
              <w:autoSpaceDE w:val="0"/>
              <w:autoSpaceDN w:val="0"/>
              <w:adjustRightInd w:val="0"/>
              <w:ind w:firstLine="709"/>
              <w:jc w:val="both"/>
              <w:rPr>
                <w:rFonts w:ascii="Times New Roman" w:eastAsia="Times New Roman" w:hAnsi="Times New Roman" w:cs="Times New Roman"/>
                <w:sz w:val="24"/>
                <w:szCs w:val="24"/>
                <w:lang w:eastAsia="ru-RU"/>
              </w:rPr>
            </w:pPr>
          </w:p>
          <w:p w:rsidR="002E5ADD" w:rsidRPr="00D423B2" w:rsidRDefault="002E5ADD" w:rsidP="00CA500D">
            <w:pPr>
              <w:autoSpaceDE w:val="0"/>
              <w:autoSpaceDN w:val="0"/>
              <w:adjustRightInd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3.5. Проблемы и перспективы освоения месторождений нетрадиционных углеводородов Республики Татарстан</w:t>
            </w:r>
          </w:p>
          <w:p w:rsidR="002E5ADD" w:rsidRPr="00D423B2" w:rsidRDefault="002E5ADD" w:rsidP="002E5ADD">
            <w:pPr>
              <w:autoSpaceDE w:val="0"/>
              <w:autoSpaceDN w:val="0"/>
              <w:adjustRightInd w:val="0"/>
              <w:ind w:firstLine="709"/>
              <w:jc w:val="both"/>
              <w:rPr>
                <w:rFonts w:ascii="Times New Roman" w:eastAsia="Times New Roman" w:hAnsi="Times New Roman" w:cs="Times New Roman"/>
                <w:sz w:val="24"/>
                <w:szCs w:val="24"/>
                <w:lang w:eastAsia="ru-RU"/>
              </w:rPr>
            </w:pPr>
          </w:p>
          <w:p w:rsidR="001E0C46" w:rsidRPr="001E0C46" w:rsidRDefault="001E0C46" w:rsidP="001E0C46">
            <w:pPr>
              <w:autoSpaceDE w:val="0"/>
              <w:autoSpaceDN w:val="0"/>
              <w:adjustRightInd w:val="0"/>
              <w:ind w:firstLine="709"/>
              <w:jc w:val="both"/>
              <w:rPr>
                <w:rFonts w:ascii="Times New Roman" w:eastAsia="Times New Roman" w:hAnsi="Times New Roman" w:cs="Times New Roman"/>
                <w:sz w:val="24"/>
                <w:szCs w:val="24"/>
                <w:lang w:eastAsia="ru-RU"/>
              </w:rPr>
            </w:pPr>
            <w:r w:rsidRPr="001E0C46">
              <w:rPr>
                <w:rFonts w:ascii="Times New Roman" w:eastAsia="Times New Roman" w:hAnsi="Times New Roman" w:cs="Times New Roman"/>
                <w:sz w:val="24"/>
                <w:szCs w:val="24"/>
                <w:lang w:eastAsia="ru-RU"/>
              </w:rPr>
              <w:t>К категории нетрадиционных углеводородов относятся тяжелая нефть, природные битумы, битумоносные пески, нефтеносные сланцы. Кроме того, к этой категории относятся нетрадиционные ресурсы газа: угольные месторождения, водорастворенные газы, газы сланцевых и плотных формаций (рисунок 9). Мировые ресурсы нетрадиционных нефтей оцениваются в 1,3 – 1,4 трлн. тонн. Из них при существующих технологиях добычи може</w:t>
            </w:r>
            <w:r>
              <w:rPr>
                <w:rFonts w:ascii="Times New Roman" w:eastAsia="Times New Roman" w:hAnsi="Times New Roman" w:cs="Times New Roman"/>
                <w:sz w:val="24"/>
                <w:szCs w:val="24"/>
                <w:lang w:eastAsia="ru-RU"/>
              </w:rPr>
              <w:t xml:space="preserve">т быть рентабельно извлечено </w:t>
            </w:r>
            <w:r w:rsidRPr="001E0C46">
              <w:rPr>
                <w:rFonts w:ascii="Times New Roman" w:eastAsia="Times New Roman" w:hAnsi="Times New Roman" w:cs="Times New Roman"/>
                <w:sz w:val="24"/>
                <w:szCs w:val="24"/>
                <w:lang w:eastAsia="ru-RU"/>
              </w:rPr>
              <w:t>до</w:t>
            </w:r>
            <w:r w:rsidRPr="001E0C46">
              <w:rPr>
                <w:rFonts w:ascii="Times New Roman" w:eastAsia="Times New Roman" w:hAnsi="Times New Roman" w:cs="Times New Roman"/>
                <w:sz w:val="24"/>
                <w:szCs w:val="24"/>
                <w:lang w:eastAsia="ru-RU"/>
              </w:rPr>
              <w:br/>
              <w:t>171,5 млрд тонн углеводородов.</w:t>
            </w:r>
          </w:p>
          <w:p w:rsidR="002E5ADD" w:rsidRPr="00D423B2" w:rsidRDefault="002E5ADD" w:rsidP="007F312D">
            <w:pPr>
              <w:autoSpaceDE w:val="0"/>
              <w:autoSpaceDN w:val="0"/>
              <w:adjustRightInd w:val="0"/>
              <w:ind w:firstLine="709"/>
              <w:jc w:val="both"/>
              <w:rPr>
                <w:rFonts w:ascii="Times New Roman" w:eastAsia="Times New Roman" w:hAnsi="Times New Roman" w:cs="Times New Roman"/>
                <w:sz w:val="24"/>
                <w:szCs w:val="24"/>
                <w:lang w:eastAsia="ru-RU"/>
              </w:rPr>
            </w:pPr>
          </w:p>
          <w:p w:rsidR="00841C90" w:rsidRPr="00D423B2" w:rsidRDefault="00FB4BAE" w:rsidP="00913BFC">
            <w:pPr>
              <w:jc w:val="center"/>
              <w:rPr>
                <w:rFonts w:ascii="Times New Roman" w:hAnsi="Times New Roman" w:cs="Times New Roman"/>
                <w:sz w:val="16"/>
                <w:szCs w:val="16"/>
              </w:rPr>
            </w:pPr>
            <w:r w:rsidRPr="00D423B2">
              <w:rPr>
                <w:rFonts w:ascii="Times New Roman" w:hAnsi="Times New Roman" w:cs="Times New Roman"/>
                <w:noProof/>
                <w:sz w:val="16"/>
                <w:szCs w:val="16"/>
                <w:lang w:eastAsia="ru-RU"/>
              </w:rPr>
              <w:drawing>
                <wp:inline distT="0" distB="0" distL="0" distR="0" wp14:anchorId="64243B35" wp14:editId="5D004E66">
                  <wp:extent cx="1621790" cy="1103630"/>
                  <wp:effectExtent l="0" t="0" r="0" b="127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21790" cy="1103630"/>
                          </a:xfrm>
                          <a:prstGeom prst="rect">
                            <a:avLst/>
                          </a:prstGeom>
                          <a:noFill/>
                        </pic:spPr>
                      </pic:pic>
                    </a:graphicData>
                  </a:graphic>
                </wp:inline>
              </w:drawing>
            </w:r>
          </w:p>
          <w:p w:rsidR="00335D42" w:rsidRPr="00D423B2" w:rsidRDefault="00335D42" w:rsidP="00335D42">
            <w:pPr>
              <w:autoSpaceDE w:val="0"/>
              <w:autoSpaceDN w:val="0"/>
              <w:adjustRightInd w:val="0"/>
              <w:ind w:firstLine="709"/>
              <w:jc w:val="both"/>
              <w:outlineLvl w:val="3"/>
              <w:rPr>
                <w:rFonts w:ascii="Times New Roman" w:eastAsia="Times New Roman" w:hAnsi="Times New Roman" w:cs="Times New Roman"/>
                <w:sz w:val="24"/>
                <w:szCs w:val="24"/>
                <w:lang w:eastAsia="ru-RU"/>
              </w:rPr>
            </w:pPr>
          </w:p>
          <w:p w:rsidR="001E0C46" w:rsidRPr="001E0C46" w:rsidRDefault="001E0C46" w:rsidP="001E0C46">
            <w:pPr>
              <w:autoSpaceDE w:val="0"/>
              <w:autoSpaceDN w:val="0"/>
              <w:adjustRightInd w:val="0"/>
              <w:jc w:val="center"/>
              <w:rPr>
                <w:rFonts w:ascii="Times New Roman" w:eastAsia="Times New Roman" w:hAnsi="Times New Roman" w:cs="Times New Roman"/>
                <w:sz w:val="16"/>
                <w:szCs w:val="16"/>
                <w:lang w:eastAsia="ru-RU"/>
              </w:rPr>
            </w:pPr>
            <w:r w:rsidRPr="001E0C46">
              <w:rPr>
                <w:rFonts w:ascii="Times New Roman" w:eastAsia="Times New Roman" w:hAnsi="Times New Roman" w:cs="Times New Roman"/>
                <w:sz w:val="16"/>
                <w:szCs w:val="16"/>
                <w:lang w:eastAsia="ru-RU"/>
              </w:rPr>
              <w:t>Рис. 9. Геологические ресурсы, млрд тонн условного топлива</w:t>
            </w:r>
          </w:p>
          <w:p w:rsidR="001E0C46" w:rsidRPr="001E0C46" w:rsidRDefault="001E0C46" w:rsidP="001E0C46">
            <w:pPr>
              <w:autoSpaceDE w:val="0"/>
              <w:autoSpaceDN w:val="0"/>
              <w:adjustRightInd w:val="0"/>
              <w:jc w:val="center"/>
              <w:rPr>
                <w:rFonts w:ascii="Times New Roman" w:eastAsia="Times New Roman" w:hAnsi="Times New Roman" w:cs="Times New Roman"/>
                <w:sz w:val="16"/>
                <w:szCs w:val="16"/>
                <w:lang w:eastAsia="ru-RU"/>
              </w:rPr>
            </w:pPr>
            <w:r w:rsidRPr="001E0C46">
              <w:rPr>
                <w:rFonts w:ascii="Times New Roman" w:eastAsia="Times New Roman" w:hAnsi="Times New Roman" w:cs="Times New Roman"/>
                <w:sz w:val="16"/>
                <w:szCs w:val="16"/>
                <w:lang w:eastAsia="ru-RU"/>
              </w:rPr>
              <w:t>(по Белонину М.Д.)</w:t>
            </w:r>
          </w:p>
          <w:p w:rsidR="00A34816" w:rsidRPr="00D423B2" w:rsidRDefault="00A34816" w:rsidP="00335D42">
            <w:pPr>
              <w:autoSpaceDE w:val="0"/>
              <w:autoSpaceDN w:val="0"/>
              <w:adjustRightInd w:val="0"/>
              <w:ind w:firstLine="709"/>
              <w:jc w:val="both"/>
              <w:outlineLvl w:val="3"/>
              <w:rPr>
                <w:rFonts w:ascii="Times New Roman" w:eastAsia="Times New Roman" w:hAnsi="Times New Roman" w:cs="Times New Roman"/>
                <w:sz w:val="24"/>
                <w:szCs w:val="24"/>
                <w:lang w:eastAsia="ru-RU"/>
              </w:rPr>
            </w:pPr>
          </w:p>
          <w:p w:rsidR="00335D42" w:rsidRPr="00D423B2" w:rsidRDefault="00335D42" w:rsidP="00335D42">
            <w:pPr>
              <w:autoSpaceDE w:val="0"/>
              <w:autoSpaceDN w:val="0"/>
              <w:adjustRightInd w:val="0"/>
              <w:ind w:firstLine="709"/>
              <w:jc w:val="both"/>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3.5.1. Сверхвязкие нефти и природные битумы пермского комплекса отложений Республики Татарстан</w:t>
            </w:r>
          </w:p>
          <w:p w:rsidR="00335D42" w:rsidRPr="00D423B2" w:rsidRDefault="00335D42" w:rsidP="00335D42">
            <w:pPr>
              <w:autoSpaceDE w:val="0"/>
              <w:autoSpaceDN w:val="0"/>
              <w:adjustRightInd w:val="0"/>
              <w:ind w:firstLine="709"/>
              <w:jc w:val="both"/>
              <w:rPr>
                <w:rFonts w:ascii="Times New Roman" w:eastAsia="Times New Roman" w:hAnsi="Times New Roman" w:cs="Times New Roman"/>
                <w:sz w:val="24"/>
                <w:szCs w:val="24"/>
                <w:lang w:eastAsia="ru-RU"/>
              </w:rPr>
            </w:pP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Битумы пермских отложений Татарстана представляют собой окисленные высоковязкие нефти жидкой, полужидкой и твердой консистенции (вязкость от 600 до 1 млн спз), с высоким содержанием серы (3,7 – 7,0 процентов), с содержанием масел от 5,8 до 88,0 процентов), смол – от 8,7 до 57,0 процентов, асфальтенов – от 3,3 до 61,0 процента).</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Анализ результатов разведочных работ и лабораторных исследований керна подтвердил сходство строения залежей битумов с нефтяными залежами. Битум-содержащие отложения представляют собой скопления с содержанием битумов от 1 до 20 процентов к весу породы (40 – 98 процентов), к объему породы с определенными границами, за которыми битумонасыщенность снижается до 1 процента и ниже.</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Ресурсы углеводородного сырья в пермских отложениях Республики Татарстан оценивались различными авторами в течение более 30 лет во второй половине прошлого столетия. Эти оценки колебались от 4 до 21 млрд тонн, и даже с учетом северных районов республики (почти до 40 млрд тонн). Наиболее вероятный объем ресурсов составляет 7 – 8,7 млрд тонн, в том числе приоритетные для освоения ресурсы, принятые геологической службой объединения «Татнефть» в 1974 году, 1,5 – 2 млрд тонн. С 1978 года полигоном для отработки скважинных технологий добычи природных битумов стали два месторождения: Мордово-Кармальское и Ашальчинское. За прошедшие годы на данных месторождениях были разработаны и прошли апробацию следующие технологии:</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отбор керна в рыхлых битумоносных песчаниках специально созданным керноотборником;</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опробование битумных скважин;</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инициирование внутрипластового горения с применением термогазового генератора, высокочастотного электромагнитного поля, пара, электронагревательной установки УЭСК-100;</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термоциклическое воздействие на битумонасыщенный пласт воздухом, паром и парогазом;</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площадная закачка воздуха, пара и парогаза;</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изменение фильтрационных потоков;</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извлечение природных битумов методом низкотемпературного окисления.</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Кроме того, были отработаны методика поиска и разведки месторождений пермских тяжелых нефтей, оконтуривания залежей сверхвязкой нефти и ВВН, технологии изучения добывных возможностей пластов в различных структурно-геологических условиях локального поднятия.</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Проведенные исследования и опытно-промышленные работы по разработке скважинных методов извлечения битумов показали перспективность разработки залежей сверхвязкой нефти с применением тепловых методов (внутрипластовое горение, вытеснение паром, парогаз, волновые МУН, сочетание горизонтального бурения с парогравитацией). На опытном участке Мордово-Кармальского месторождения при разработке скважинными методами с применением внутрипластового горения получена высокая нефтеотдача – около 35 процентов.</w:t>
            </w:r>
          </w:p>
          <w:p w:rsidR="00B57B62" w:rsidRPr="00B57B62" w:rsidRDefault="00B57B62" w:rsidP="00B57B62">
            <w:pPr>
              <w:autoSpaceDE w:val="0"/>
              <w:autoSpaceDN w:val="0"/>
              <w:adjustRightInd w:val="0"/>
              <w:ind w:firstLine="709"/>
              <w:jc w:val="both"/>
              <w:rPr>
                <w:rFonts w:ascii="Times New Roman" w:eastAsia="Times New Roman" w:hAnsi="Times New Roman" w:cs="Times New Roman"/>
                <w:sz w:val="24"/>
                <w:szCs w:val="24"/>
                <w:lang w:eastAsia="ru-RU"/>
              </w:rPr>
            </w:pPr>
            <w:r w:rsidRPr="00B57B62">
              <w:rPr>
                <w:rFonts w:ascii="Times New Roman" w:eastAsia="Times New Roman" w:hAnsi="Times New Roman" w:cs="Times New Roman"/>
                <w:sz w:val="24"/>
                <w:szCs w:val="24"/>
                <w:lang w:eastAsia="ru-RU"/>
              </w:rPr>
              <w:t>В дальнейшем в ПАО «Татнефть» на основе принципов технологии SAGD (метод парогравитационного дренажа) создан комплекс собственных технологий разработки месторождений СВН, который был отмечен премией Правительства Российской Федерации в области науки и техники 2012 года. Прогнозные уровни добычи СВН на месторождениях ПАО «Татнефть» с применением отработанных к настоящему времени технологий при текущем состоянии геологической изученности приведены на рисунке 10.</w:t>
            </w:r>
          </w:p>
          <w:p w:rsidR="00633133" w:rsidRPr="00D423B2" w:rsidRDefault="00633133" w:rsidP="00340A9A">
            <w:pPr>
              <w:autoSpaceDE w:val="0"/>
              <w:autoSpaceDN w:val="0"/>
              <w:adjustRightInd w:val="0"/>
              <w:jc w:val="both"/>
              <w:rPr>
                <w:rFonts w:ascii="Times New Roman" w:eastAsia="Times New Roman" w:hAnsi="Times New Roman" w:cs="Times New Roman"/>
                <w:sz w:val="24"/>
                <w:szCs w:val="24"/>
                <w:lang w:eastAsia="ru-RU"/>
              </w:rPr>
            </w:pPr>
          </w:p>
          <w:p w:rsidR="00633133" w:rsidRPr="00D423B2" w:rsidRDefault="00633133" w:rsidP="00340A9A">
            <w:pPr>
              <w:autoSpaceDE w:val="0"/>
              <w:autoSpaceDN w:val="0"/>
              <w:adjustRightInd w:val="0"/>
              <w:ind w:firstLine="709"/>
              <w:jc w:val="center"/>
              <w:rPr>
                <w:rFonts w:ascii="Times New Roman" w:eastAsia="Times New Roman" w:hAnsi="Times New Roman" w:cs="Times New Roman"/>
                <w:strike/>
                <w:sz w:val="24"/>
                <w:szCs w:val="24"/>
                <w:lang w:eastAsia="ru-RU"/>
              </w:rPr>
            </w:pPr>
            <w:r w:rsidRPr="00D423B2">
              <w:rPr>
                <w:rFonts w:ascii="Times New Roman" w:eastAsia="Times New Roman" w:hAnsi="Times New Roman" w:cs="Times New Roman"/>
                <w:strike/>
                <w:noProof/>
                <w:sz w:val="24"/>
                <w:szCs w:val="24"/>
                <w:lang w:eastAsia="ru-RU"/>
              </w:rPr>
              <w:drawing>
                <wp:inline distT="0" distB="0" distL="0" distR="0" wp14:anchorId="6FCC7957" wp14:editId="1257FA17">
                  <wp:extent cx="2382912" cy="134302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88722" cy="1346300"/>
                          </a:xfrm>
                          <a:prstGeom prst="rect">
                            <a:avLst/>
                          </a:prstGeom>
                          <a:noFill/>
                        </pic:spPr>
                      </pic:pic>
                    </a:graphicData>
                  </a:graphic>
                </wp:inline>
              </w:drawing>
            </w:r>
          </w:p>
          <w:p w:rsidR="00340A9A" w:rsidRPr="00D423B2" w:rsidRDefault="00340A9A" w:rsidP="003653A3">
            <w:pPr>
              <w:autoSpaceDE w:val="0"/>
              <w:autoSpaceDN w:val="0"/>
              <w:adjustRightInd w:val="0"/>
              <w:jc w:val="center"/>
              <w:rPr>
                <w:rFonts w:ascii="Times New Roman" w:eastAsia="Times New Roman" w:hAnsi="Times New Roman" w:cs="Times New Roman"/>
                <w:sz w:val="16"/>
                <w:szCs w:val="16"/>
                <w:lang w:eastAsia="ru-RU"/>
              </w:rPr>
            </w:pPr>
          </w:p>
          <w:p w:rsidR="00FF19AD" w:rsidRPr="00FF19AD" w:rsidRDefault="00FF19AD" w:rsidP="00FF19AD">
            <w:pPr>
              <w:autoSpaceDE w:val="0"/>
              <w:autoSpaceDN w:val="0"/>
              <w:adjustRightInd w:val="0"/>
              <w:jc w:val="center"/>
              <w:rPr>
                <w:rFonts w:ascii="Times New Roman" w:eastAsia="Times New Roman" w:hAnsi="Times New Roman" w:cs="Times New Roman"/>
                <w:sz w:val="16"/>
                <w:szCs w:val="16"/>
                <w:lang w:eastAsia="ru-RU"/>
              </w:rPr>
            </w:pPr>
            <w:r w:rsidRPr="00FF19AD">
              <w:rPr>
                <w:rFonts w:ascii="Times New Roman" w:eastAsia="Times New Roman" w:hAnsi="Times New Roman" w:cs="Times New Roman"/>
                <w:sz w:val="16"/>
                <w:szCs w:val="16"/>
                <w:lang w:eastAsia="ru-RU"/>
              </w:rPr>
              <w:t>Рис. 10. Прогнозные уровни добычи СВН на месторождениях ПАО «Татнефть» (с учетом ввода перспективных поднятий)</w:t>
            </w:r>
          </w:p>
          <w:p w:rsidR="00CC638E" w:rsidRPr="00D423B2" w:rsidRDefault="00CC638E" w:rsidP="004E7365">
            <w:pPr>
              <w:jc w:val="both"/>
              <w:rPr>
                <w:rFonts w:ascii="Times New Roman" w:hAnsi="Times New Roman" w:cs="Times New Roman"/>
                <w:sz w:val="16"/>
                <w:szCs w:val="16"/>
              </w:rPr>
            </w:pPr>
          </w:p>
          <w:p w:rsidR="002E529E" w:rsidRPr="00D423B2" w:rsidRDefault="002E529E" w:rsidP="002E529E">
            <w:pPr>
              <w:autoSpaceDE w:val="0"/>
              <w:autoSpaceDN w:val="0"/>
              <w:adjustRightInd w:val="0"/>
              <w:ind w:firstLine="709"/>
              <w:jc w:val="both"/>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3.5.2. Нетрадиционные углеводороды, в том числе из сланцевых отложений</w:t>
            </w:r>
          </w:p>
          <w:p w:rsidR="002E529E" w:rsidRPr="00D423B2" w:rsidRDefault="002E529E" w:rsidP="002E529E">
            <w:pPr>
              <w:autoSpaceDE w:val="0"/>
              <w:autoSpaceDN w:val="0"/>
              <w:adjustRightInd w:val="0"/>
              <w:ind w:firstLine="709"/>
              <w:jc w:val="both"/>
              <w:rPr>
                <w:rFonts w:ascii="Times New Roman" w:eastAsia="Times New Roman" w:hAnsi="Times New Roman" w:cs="Times New Roman"/>
                <w:sz w:val="24"/>
                <w:szCs w:val="24"/>
                <w:lang w:eastAsia="ru-RU"/>
              </w:rPr>
            </w:pP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За последнее десятилетие мировой рынок энергоносителей существенно изменился благодаря вводу в эксплуатацию месторождений нетрадиционных углеводородов, прежде всего, углеводородов из сланцевых отложений. В отличие от традиционных углеводородов они сосредоточены в сложных для освоения скоплениях либо рассеяны в непродуктивной среде. Данные углеводороды плохо подвижны или неподвижны в пластовых условиях недр, в связи с чем нуждаются в специальных способах извлечения из недр, что повышает их себестоимость.</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По оценке некоторых зарубежных экспертов, извлекаемые ресурсы сланцевой нефти на планете могут составлять 900 млрд тонн. По данным Международного энергетического агентства, извлекаемые запасы сланцевой нефти только</w:t>
            </w:r>
            <w:r w:rsidRPr="00BC681F">
              <w:rPr>
                <w:rFonts w:ascii="Times New Roman" w:eastAsia="Times New Roman" w:hAnsi="Times New Roman" w:cs="Times New Roman"/>
                <w:sz w:val="24"/>
                <w:szCs w:val="24"/>
                <w:lang w:eastAsia="ru-RU"/>
              </w:rPr>
              <w:br/>
              <w:t>по 33 странам на открытых 600 месторождениях на 1 января 2013 года оцениваются в пределах 450 млрд тонн.</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Учитывая, что запасы сланцевой нефти значительно превышают объем традиционных запасов, в настоящее время все вертикально-интегрированные нефтяные компании России ведут научно-исследовательские и опытно- промышленные работы по выработке методики разработки месторождений сланцевой нефти.</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На территории Татарстана перспективы развития нефтесланцевых полей связаны, в первую очередь, с породами доманикоидной формации верхнего девона - с семилукским (доманиковым) горизонтом, а также с речицким (мендымским) горизонтом и доманикоидными формациями центральной и бортовой зон Камско-Кинельской системы прогибов. В частности, нефтеносность семилукского и речицкого горизонтов установлена на ряде площадей Ромашкинского месторождения, в пределах Ерсубайкинского, Березовского и других месторождений.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Научно-исследовательские работы по оценке нефтеперспективности сланцевых отложений на территории Республики Татарстан ведутся Академией наук Республики Татарстан, ФГАОУ ВО «Казанский (Приволжский) федеральный университет», Институт «ТатНИПИнефть» и рядом других ключевых и передовых научно-исследовательских учреждений.</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ПАО «Татнефть» на протяжении последних пяти лет активно проводит работы по изучению доманиковых отложений – плотных слабопроницамых нефтематеринских карбонатных толщ девонской системы, стратиграфически приуроченных к интервалу от саргаевского горизонта до заволжского надгоризонта включительно.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На 1 января 2019 года на государственном балансе учтены 9 месторождений ПАО «Татнефть» с запасами в доманиковых отложениях: Бавлинское, Бухараевское, Западно-Галицкое, Купавное, Матросовское, Ново-Елховское (Баллаевское поднятие), Ромашинское (444 залежь), Сабанчинское, Сарайлинское (Восточно-Тагайское поднятие). С начальными запасами нефти: геологических – 353,053 млн тонн и извлекаемых – 45,956 млн тонн. Проведен ряд научно-исследовательских и тематических работ по уточнению геологического строения доманиковых отложений, детальному исследованию керна, определению основных перспектив нефтеносности. Ведется работа по созданию полигонов в рамках лицензионных соглашений.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В рамках программы опытно-промышленных работ отрабатываются технологии воздействия на пласты с низкими фильтрационными характеристиками, технологии горизонтального бурения и, так называемые, «щадящие» кислотные и многозонные ГРП.</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При проведении работ на доманиковых отложениях возникает ряд проблем по их изучению: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выделение перспективных интервалов осложнено отсутствием методики определения количественных параметров по геофизическим исследованиям скважин (далее – ГИС), разработанной для нетрадиционных плотных слабопроницаемых пород, содержащих трудноизвлекаемые запасы. Осложняющими факторами при интерпретации данных ГИС являются: литологическая неоднородность доманиковых отложений по площади и разрезу, их изменчивость по фильтрационно-емкостным свойствам, вскрытие разреза на естественной водной суспензии, высокая степень гидрофобности порового пространства, насыщение пород органическим веществом и битумоидами;</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сложность картирования зон разуплотнений в конкретном горизонте, пласте. Данные сейсморазведочных работ методом общей глубинной точки (МОГТ), в том числе и модификации 3Д, позволяют прогнозировать зоны трещиноватости и выполнять сейсмофациальный анализ только на весьма обширные интервалы разреза.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 xml:space="preserve">Работа с доманиковыми отложениями подразумевает нетрадиционный подход к их изучению и освоению и требует обязательного применения методов стимуляции пласта. Необходимо в комплексе с традиционными методами МГРП (многозонный гидроразрыв пласта) и БОПЗ (большеобъемная обработка призабойной зоны), применять альтернативные способы воздействия, к примеру, такие как тепловое, газовое воздействие, применение катализаторов, использование особых составов ГРП и другие.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Изучение доманиковых отложений – это новое направление, требующее немалых вложений, как материальных, так и интеллектуальных. Компания несет значительные материальные затраты при проведении необходимого комплекса исследований керна. Поскольку основной целью проведения опытно-промышленных работ в доманиковых отложениях является выявление залежей в доманиковых отложениях как на новых участках, так и на разрабатываемых месторождениях, проведение детальных исследований керна базовых скважин должно включать определение основных литолого-петрофизических, геохимических и геомеханических характеристик на образцах керна с плотностью</w:t>
            </w:r>
            <w:r w:rsidRPr="00BC681F">
              <w:rPr>
                <w:rFonts w:ascii="Times New Roman" w:eastAsia="Times New Roman" w:hAnsi="Times New Roman" w:cs="Times New Roman"/>
                <w:sz w:val="24"/>
                <w:szCs w:val="24"/>
                <w:lang w:eastAsia="ru-RU"/>
              </w:rPr>
              <w:br/>
              <w:t xml:space="preserve">3 – 5 образцов на 1 метр вынесенного керна из интервалов с выноса керна не менее 80 процентов). </w:t>
            </w:r>
          </w:p>
          <w:p w:rsidR="00BC681F" w:rsidRPr="00BC681F"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Основной задачей на текущий момент является необходимость подбора рационального комплекса методик и технологий ГРР и разработки, бурения и ГРП, других методов воздействия, а также обеспечение рентабельной эксплуатации.</w:t>
            </w:r>
          </w:p>
          <w:p w:rsidR="00A45AC4" w:rsidRPr="00D423B2" w:rsidRDefault="00BC681F" w:rsidP="00BC681F">
            <w:pPr>
              <w:autoSpaceDE w:val="0"/>
              <w:autoSpaceDN w:val="0"/>
              <w:adjustRightInd w:val="0"/>
              <w:ind w:firstLine="709"/>
              <w:jc w:val="both"/>
              <w:rPr>
                <w:rFonts w:ascii="Times New Roman" w:eastAsia="Times New Roman" w:hAnsi="Times New Roman" w:cs="Times New Roman"/>
                <w:sz w:val="24"/>
                <w:szCs w:val="24"/>
                <w:lang w:eastAsia="ru-RU"/>
              </w:rPr>
            </w:pPr>
            <w:r w:rsidRPr="00BC681F">
              <w:rPr>
                <w:rFonts w:ascii="Times New Roman" w:eastAsia="Times New Roman" w:hAnsi="Times New Roman" w:cs="Times New Roman"/>
                <w:sz w:val="24"/>
                <w:szCs w:val="24"/>
                <w:lang w:eastAsia="ru-RU"/>
              </w:rPr>
              <w:t>В качестве других возможных источников углеводородов отраслевой научной общественностью обсуждается на уровне гипотезы теория пополнения нефтяных месторождений углеводородами из глубин Земли, из кристаллического фундамента через флюидопроводящие каналы, а также возможность подземной газификации углей из отложений нижнего карбона с дальнейшим использованием дополнительно выделяемого тепла для термической добычи ВВН.</w:t>
            </w:r>
          </w:p>
          <w:p w:rsidR="00BC681F" w:rsidRDefault="00BC681F" w:rsidP="00A45AC4">
            <w:pPr>
              <w:autoSpaceDE w:val="0"/>
              <w:autoSpaceDN w:val="0"/>
              <w:adjustRightInd w:val="0"/>
              <w:jc w:val="center"/>
              <w:outlineLvl w:val="2"/>
              <w:rPr>
                <w:rFonts w:ascii="Times New Roman" w:eastAsia="Times New Roman" w:hAnsi="Times New Roman" w:cs="Times New Roman"/>
                <w:b/>
                <w:sz w:val="24"/>
                <w:szCs w:val="24"/>
                <w:lang w:eastAsia="ru-RU"/>
              </w:rPr>
            </w:pPr>
          </w:p>
          <w:p w:rsidR="00A45AC4" w:rsidRPr="00D423B2" w:rsidRDefault="00A45AC4" w:rsidP="00A45AC4">
            <w:pPr>
              <w:autoSpaceDE w:val="0"/>
              <w:autoSpaceDN w:val="0"/>
              <w:adjustRightInd w:val="0"/>
              <w:jc w:val="center"/>
              <w:outlineLvl w:val="2"/>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3.6. Нефтеперерабатывающая промышленность</w:t>
            </w:r>
          </w:p>
          <w:p w:rsidR="00A45AC4" w:rsidRPr="00D423B2" w:rsidRDefault="00A45AC4" w:rsidP="00A45AC4">
            <w:pPr>
              <w:autoSpaceDE w:val="0"/>
              <w:autoSpaceDN w:val="0"/>
              <w:adjustRightInd w:val="0"/>
              <w:jc w:val="both"/>
              <w:rPr>
                <w:rFonts w:ascii="Times New Roman" w:eastAsia="Times New Roman" w:hAnsi="Times New Roman" w:cs="Times New Roman"/>
                <w:sz w:val="24"/>
                <w:szCs w:val="24"/>
                <w:lang w:eastAsia="ru-RU"/>
              </w:rPr>
            </w:pP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Нефтеперерабатывающая промышленность является относительно молодой отраслью Республики Татарстан. Ее формирование проходило в рамках реализации программных документов, принимаемых на уровне Правительства Республики Татарстан начиная с 1999 года.</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В настоящее время на долю Татарстана приходится 6,5 процента объема добычи нефти в Российской Федерации, а с вводом в эксплуатацию в 2012 году комплекса нефтеперерабатывающих и нефтехимических заводов АО «ТАНЕКО» (далее – Комплекс «ТАНЕКО») – более 6 процентов всего объема российской нефтепереработки. Отрасль формирует около 22 процентов общереспубликанского объема промышленного производства.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Нефтеперерабатывающая промышленность Республики Татарстан представлена нефтеперерабатывающим комплексом АО «ТАИФ-НК» и Комплексом «ТАНЕКО», входящим в состав ПАО «Татнефть».</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В настоящее время АО «ТАИФ-НК», объединяющее нефтеперерабатывающий завод, завод бензинов и производство по переработке газового конденсата, ежегодно перерабатывает более 8,3 млн тонн углеводородного сырья. Среднегодовой показатель глубины переработки на предприятии составляет 75,2 процента.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Строительство Комплекса «ТАНЕКО» было начато в 2005 году</w:t>
            </w:r>
            <w:r w:rsidRPr="00BE64CB">
              <w:rPr>
                <w:rFonts w:ascii="Times New Roman" w:eastAsia="Times New Roman" w:hAnsi="Times New Roman" w:cs="Times New Roman"/>
                <w:sz w:val="24"/>
                <w:szCs w:val="24"/>
                <w:lang w:eastAsia="ru-RU"/>
              </w:rPr>
              <w:br/>
              <w:t>ПАО «Татнефть» в целях организации собственной переработки добываемой нефти. Проект реализуется поэтапно, в условиях совмещенного проектирования, поставок оборудования, строительства с опережающим вводом в эксплуатацию производственных мощностей.</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bCs/>
                <w:sz w:val="24"/>
                <w:szCs w:val="24"/>
                <w:lang w:eastAsia="ru-RU"/>
              </w:rPr>
            </w:pPr>
            <w:r w:rsidRPr="00BE64CB">
              <w:rPr>
                <w:rFonts w:ascii="Times New Roman" w:eastAsia="Times New Roman" w:hAnsi="Times New Roman" w:cs="Times New Roman"/>
                <w:bCs/>
                <w:sz w:val="24"/>
                <w:szCs w:val="24"/>
                <w:lang w:eastAsia="ru-RU"/>
              </w:rPr>
              <w:t>Достигнутые показатели:</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глубина переработки – 99 процентов;</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выход светлых нефтепродуктов – 84 процента;</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объем по переработки нефти – 8,7 млн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АО «ТАНЕКО» занимает:</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первое место среди российских нефтеперерабатывающих заводов (далее – НПЗ) по уровню загрузки установок первичной переработки нефти (115 процентов);</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b/>
                <w:bCs/>
                <w:sz w:val="24"/>
                <w:szCs w:val="24"/>
                <w:lang w:eastAsia="ru-RU"/>
              </w:rPr>
            </w:pPr>
            <w:r w:rsidRPr="00BE64CB">
              <w:rPr>
                <w:rFonts w:ascii="Times New Roman" w:eastAsia="Times New Roman" w:hAnsi="Times New Roman" w:cs="Times New Roman"/>
                <w:sz w:val="24"/>
                <w:szCs w:val="24"/>
                <w:lang w:eastAsia="ru-RU"/>
              </w:rPr>
              <w:t>седьмое место по объему производства нефтепродуктов;</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10 процентов – доля компании в общем увеличении объема переработки нефти в России.</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bCs/>
                <w:sz w:val="24"/>
                <w:szCs w:val="24"/>
                <w:lang w:eastAsia="ru-RU"/>
              </w:rPr>
            </w:pPr>
            <w:r w:rsidRPr="00BE64CB">
              <w:rPr>
                <w:rFonts w:ascii="Times New Roman" w:eastAsia="Times New Roman" w:hAnsi="Times New Roman" w:cs="Times New Roman"/>
                <w:bCs/>
                <w:sz w:val="24"/>
                <w:szCs w:val="24"/>
                <w:lang w:eastAsia="ru-RU"/>
              </w:rPr>
              <w:t>Действующее производство:</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ЭЛОУ-АВТ-7 – 8,7 млн тонн/год (утвержденная проектная мощность);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комбинированная установка получения серы – 278 тыс. тонн/год;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установки производства водорода – 100 и 22 тыс.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гидрокрекинга – 2,9 млн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производства масел – 250 тыс.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установка замедленного коксования – 2 млн тонн/год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гидроочистки нафты – 1,1 млн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изомеризации – 420 тыс.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гидроочистки керосина – 500 тыс.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установка гидроочистки дизельного топлива – 1,6 млн тонн/год</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установка каталитического риформинга – 714 тыс. тонн/год. </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НПЗ Республики Татарстан продолжают работу по дальнейшему развитию мощностей, что в перспективе позволит довести объем ежегодной переработки нефти в Республике Татарстан до 22-23 млн тонн, полностью удовлетворить потребности республики в качественном моторном топливе, улучшить сырьевое обеспечение нефтехимических производств, а также в значительной степени нарастить экспортные поставки нефтепродуктов.</w:t>
            </w:r>
          </w:p>
          <w:p w:rsidR="00BE64CB" w:rsidRPr="00BE64CB" w:rsidRDefault="00BE64CB" w:rsidP="00BE64CB">
            <w:pPr>
              <w:autoSpaceDE w:val="0"/>
              <w:autoSpaceDN w:val="0"/>
              <w:adjustRightInd w:val="0"/>
              <w:ind w:firstLine="709"/>
              <w:jc w:val="both"/>
              <w:rPr>
                <w:rFonts w:ascii="Times New Roman" w:eastAsia="Times New Roman" w:hAnsi="Times New Roman" w:cs="Times New Roman"/>
                <w:sz w:val="24"/>
                <w:szCs w:val="24"/>
                <w:lang w:eastAsia="ru-RU"/>
              </w:rPr>
            </w:pPr>
            <w:r w:rsidRPr="00BE64CB">
              <w:rPr>
                <w:rFonts w:ascii="Times New Roman" w:eastAsia="Times New Roman" w:hAnsi="Times New Roman" w:cs="Times New Roman"/>
                <w:sz w:val="24"/>
                <w:szCs w:val="24"/>
                <w:lang w:eastAsia="ru-RU"/>
              </w:rPr>
              <w:t xml:space="preserve">С 2005 по 2014 год в Республике Татарстан значительно сократилась доля экспорта нефти в объеме нефтедобычи – с 62,0 до 32,6 процента. Объем первичной переработки нефти на НПЗ АО «ТАИФ-НК», Комплексе «ТАНЕКО» вырос </w:t>
            </w:r>
            <w:r w:rsidRPr="00BE64CB">
              <w:rPr>
                <w:rFonts w:ascii="Times New Roman" w:eastAsia="Times New Roman" w:hAnsi="Times New Roman" w:cs="Times New Roman"/>
                <w:sz w:val="24"/>
                <w:szCs w:val="24"/>
                <w:lang w:eastAsia="ru-RU"/>
              </w:rPr>
              <w:br/>
              <w:t>с 6,8 млн тонн в 2005 году до 17,1 млн тонн в 2014 году.</w:t>
            </w:r>
          </w:p>
          <w:p w:rsidR="00BE64CB" w:rsidRDefault="00BE64CB" w:rsidP="00BE64CB">
            <w:pPr>
              <w:autoSpaceDE w:val="0"/>
              <w:autoSpaceDN w:val="0"/>
              <w:adjustRightInd w:val="0"/>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BE64CB">
              <w:rPr>
                <w:rFonts w:ascii="Times New Roman" w:eastAsia="Times New Roman" w:hAnsi="Times New Roman" w:cs="Times New Roman"/>
                <w:sz w:val="24"/>
                <w:szCs w:val="24"/>
                <w:lang w:eastAsia="ru-RU"/>
              </w:rPr>
              <w:t>С 2014 по 2017 год в Республике Татарстан доля экспорта нефти в объеме нефтедобычи выросла с 32 процентов д</w:t>
            </w:r>
            <w:r>
              <w:rPr>
                <w:rFonts w:ascii="Times New Roman" w:eastAsia="Times New Roman" w:hAnsi="Times New Roman" w:cs="Times New Roman"/>
                <w:sz w:val="24"/>
                <w:szCs w:val="24"/>
                <w:lang w:eastAsia="ru-RU"/>
              </w:rPr>
              <w:t xml:space="preserve">о 47 процентов, а в 2018 году – </w:t>
            </w:r>
            <w:r w:rsidRPr="00BE64CB">
              <w:rPr>
                <w:rFonts w:ascii="Times New Roman" w:eastAsia="Times New Roman" w:hAnsi="Times New Roman" w:cs="Times New Roman"/>
                <w:sz w:val="24"/>
                <w:szCs w:val="24"/>
                <w:lang w:eastAsia="ru-RU"/>
              </w:rPr>
              <w:t>снизилась</w:t>
            </w:r>
            <w:r w:rsidRPr="00BE64CB">
              <w:rPr>
                <w:rFonts w:ascii="Times New Roman" w:eastAsia="Times New Roman" w:hAnsi="Times New Roman" w:cs="Times New Roman"/>
                <w:sz w:val="24"/>
                <w:szCs w:val="24"/>
                <w:lang w:eastAsia="ru-RU"/>
              </w:rPr>
              <w:br/>
              <w:t>до 36,5 процента.</w:t>
            </w:r>
          </w:p>
          <w:p w:rsidR="00BE64CB" w:rsidRDefault="00BE64CB" w:rsidP="00BE64CB">
            <w:pPr>
              <w:autoSpaceDE w:val="0"/>
              <w:autoSpaceDN w:val="0"/>
              <w:adjustRightInd w:val="0"/>
              <w:jc w:val="right"/>
              <w:outlineLvl w:val="3"/>
              <w:rPr>
                <w:rFonts w:ascii="Times New Roman" w:eastAsia="Times New Roman" w:hAnsi="Times New Roman" w:cs="Times New Roman"/>
                <w:sz w:val="24"/>
                <w:szCs w:val="24"/>
                <w:lang w:eastAsia="ru-RU"/>
              </w:rPr>
            </w:pPr>
          </w:p>
          <w:p w:rsidR="00BD393F" w:rsidRPr="00D423B2" w:rsidRDefault="00DE3C90" w:rsidP="00BE64CB">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BD393F" w:rsidRPr="00D423B2">
              <w:rPr>
                <w:rFonts w:ascii="Times New Roman" w:eastAsia="Times New Roman" w:hAnsi="Times New Roman" w:cs="Times New Roman"/>
                <w:sz w:val="24"/>
                <w:szCs w:val="24"/>
                <w:lang w:eastAsia="ru-RU"/>
              </w:rPr>
              <w:t>10</w:t>
            </w:r>
          </w:p>
          <w:p w:rsidR="00BD393F" w:rsidRPr="00D423B2" w:rsidRDefault="00BD393F" w:rsidP="00BD393F">
            <w:pPr>
              <w:autoSpaceDE w:val="0"/>
              <w:autoSpaceDN w:val="0"/>
              <w:adjustRightInd w:val="0"/>
              <w:jc w:val="both"/>
              <w:rPr>
                <w:rFonts w:ascii="Times New Roman" w:eastAsia="Times New Roman" w:hAnsi="Times New Roman" w:cs="Times New Roman"/>
                <w:sz w:val="24"/>
                <w:szCs w:val="24"/>
                <w:lang w:eastAsia="ru-RU"/>
              </w:rPr>
            </w:pPr>
          </w:p>
          <w:p w:rsidR="00BD393F" w:rsidRPr="00D423B2" w:rsidRDefault="00BD393F" w:rsidP="00BD393F">
            <w:pPr>
              <w:autoSpaceDE w:val="0"/>
              <w:autoSpaceDN w:val="0"/>
              <w:adjustRightInd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Динамика добычи и переработки нефти в Республике Татарстан</w:t>
            </w:r>
          </w:p>
          <w:p w:rsidR="00BD393F" w:rsidRPr="00D423B2" w:rsidRDefault="00BD393F" w:rsidP="00BD393F">
            <w:pPr>
              <w:autoSpaceDE w:val="0"/>
              <w:autoSpaceDN w:val="0"/>
              <w:adjustRightInd w:val="0"/>
              <w:jc w:val="both"/>
              <w:rPr>
                <w:rFonts w:ascii="Times New Roman" w:eastAsia="Times New Roman" w:hAnsi="Times New Roman" w:cs="Times New Roman"/>
                <w:sz w:val="28"/>
                <w:szCs w:val="28"/>
                <w:lang w:eastAsia="ru-RU"/>
              </w:rPr>
            </w:pPr>
          </w:p>
          <w:tbl>
            <w:tblPr>
              <w:tblW w:w="4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1755"/>
              <w:gridCol w:w="659"/>
              <w:gridCol w:w="552"/>
              <w:gridCol w:w="620"/>
              <w:gridCol w:w="690"/>
              <w:gridCol w:w="689"/>
            </w:tblGrid>
            <w:tr w:rsidR="00F366FA" w:rsidRPr="00F366FA" w:rsidTr="001F0D96">
              <w:trPr>
                <w:trHeight w:val="282"/>
              </w:trPr>
              <w:tc>
                <w:tcPr>
                  <w:tcW w:w="1755"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Наименование показателя/годы</w:t>
                  </w:r>
                </w:p>
              </w:tc>
              <w:tc>
                <w:tcPr>
                  <w:tcW w:w="65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2014</w:t>
                  </w:r>
                </w:p>
              </w:tc>
              <w:tc>
                <w:tcPr>
                  <w:tcW w:w="552"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2015</w:t>
                  </w:r>
                </w:p>
              </w:tc>
              <w:tc>
                <w:tcPr>
                  <w:tcW w:w="62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2016</w:t>
                  </w:r>
                </w:p>
              </w:tc>
              <w:tc>
                <w:tcPr>
                  <w:tcW w:w="69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2017</w:t>
                  </w:r>
                </w:p>
              </w:tc>
              <w:tc>
                <w:tcPr>
                  <w:tcW w:w="68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2018</w:t>
                  </w:r>
                </w:p>
              </w:tc>
            </w:tr>
            <w:tr w:rsidR="00F366FA" w:rsidRPr="00F366FA" w:rsidTr="001F0D96">
              <w:trPr>
                <w:trHeight w:val="282"/>
              </w:trPr>
              <w:tc>
                <w:tcPr>
                  <w:tcW w:w="1755" w:type="dxa"/>
                </w:tcPr>
                <w:p w:rsidR="00F366FA" w:rsidRPr="00F366FA" w:rsidRDefault="00F366FA" w:rsidP="00F366FA">
                  <w:pPr>
                    <w:pStyle w:val="ConsPlusNormal"/>
                    <w:spacing w:before="60" w:after="60"/>
                    <w:rPr>
                      <w:rFonts w:ascii="Times New Roman" w:hAnsi="Times New Roman" w:cs="Times New Roman"/>
                      <w:sz w:val="16"/>
                      <w:szCs w:val="16"/>
                    </w:rPr>
                  </w:pPr>
                  <w:r w:rsidRPr="00F366FA">
                    <w:rPr>
                      <w:rFonts w:ascii="Times New Roman" w:hAnsi="Times New Roman" w:cs="Times New Roman"/>
                      <w:sz w:val="16"/>
                      <w:szCs w:val="16"/>
                    </w:rPr>
                    <w:t>Добыча нефти, млн тонн</w:t>
                  </w:r>
                </w:p>
              </w:tc>
              <w:tc>
                <w:tcPr>
                  <w:tcW w:w="65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33,1</w:t>
                  </w:r>
                </w:p>
              </w:tc>
              <w:tc>
                <w:tcPr>
                  <w:tcW w:w="552"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34,04</w:t>
                  </w:r>
                </w:p>
              </w:tc>
              <w:tc>
                <w:tcPr>
                  <w:tcW w:w="62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35,46</w:t>
                  </w:r>
                </w:p>
              </w:tc>
              <w:tc>
                <w:tcPr>
                  <w:tcW w:w="69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35,7</w:t>
                  </w:r>
                </w:p>
              </w:tc>
              <w:tc>
                <w:tcPr>
                  <w:tcW w:w="68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36,4</w:t>
                  </w:r>
                </w:p>
              </w:tc>
            </w:tr>
            <w:tr w:rsidR="00F366FA" w:rsidRPr="00F366FA" w:rsidTr="001F0D96">
              <w:trPr>
                <w:trHeight w:val="292"/>
              </w:trPr>
              <w:tc>
                <w:tcPr>
                  <w:tcW w:w="1755" w:type="dxa"/>
                </w:tcPr>
                <w:p w:rsidR="00F366FA" w:rsidRPr="00F366FA" w:rsidRDefault="00F366FA" w:rsidP="00F366FA">
                  <w:pPr>
                    <w:pStyle w:val="ConsPlusNormal"/>
                    <w:spacing w:before="60" w:after="60"/>
                    <w:rPr>
                      <w:rFonts w:ascii="Times New Roman" w:hAnsi="Times New Roman" w:cs="Times New Roman"/>
                      <w:sz w:val="16"/>
                      <w:szCs w:val="16"/>
                    </w:rPr>
                  </w:pPr>
                  <w:r w:rsidRPr="00F366FA">
                    <w:rPr>
                      <w:rFonts w:ascii="Times New Roman" w:hAnsi="Times New Roman" w:cs="Times New Roman"/>
                      <w:sz w:val="16"/>
                      <w:szCs w:val="16"/>
                    </w:rPr>
                    <w:t>Переработка нефти, млн тонн</w:t>
                  </w:r>
                </w:p>
              </w:tc>
              <w:tc>
                <w:tcPr>
                  <w:tcW w:w="65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17,1</w:t>
                  </w:r>
                </w:p>
              </w:tc>
              <w:tc>
                <w:tcPr>
                  <w:tcW w:w="552"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17,3</w:t>
                  </w:r>
                </w:p>
              </w:tc>
              <w:tc>
                <w:tcPr>
                  <w:tcW w:w="62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17,27</w:t>
                  </w:r>
                </w:p>
              </w:tc>
              <w:tc>
                <w:tcPr>
                  <w:tcW w:w="69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16,3</w:t>
                  </w:r>
                </w:p>
              </w:tc>
              <w:tc>
                <w:tcPr>
                  <w:tcW w:w="68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17,1</w:t>
                  </w:r>
                </w:p>
              </w:tc>
            </w:tr>
            <w:tr w:rsidR="00F366FA" w:rsidRPr="00F366FA" w:rsidTr="001F0D96">
              <w:trPr>
                <w:trHeight w:val="271"/>
              </w:trPr>
              <w:tc>
                <w:tcPr>
                  <w:tcW w:w="1755" w:type="dxa"/>
                </w:tcPr>
                <w:p w:rsidR="00F366FA" w:rsidRPr="00F366FA" w:rsidRDefault="00F366FA" w:rsidP="00F366FA">
                  <w:pPr>
                    <w:pStyle w:val="ConsPlusNormal"/>
                    <w:spacing w:before="60" w:after="60"/>
                    <w:rPr>
                      <w:rFonts w:ascii="Times New Roman" w:hAnsi="Times New Roman" w:cs="Times New Roman"/>
                      <w:sz w:val="16"/>
                      <w:szCs w:val="16"/>
                    </w:rPr>
                  </w:pPr>
                  <w:r w:rsidRPr="00F366FA">
                    <w:rPr>
                      <w:rFonts w:ascii="Times New Roman" w:hAnsi="Times New Roman" w:cs="Times New Roman"/>
                      <w:sz w:val="16"/>
                      <w:szCs w:val="16"/>
                    </w:rPr>
                    <w:t>Экспорт нефти, млн тонн</w:t>
                  </w:r>
                </w:p>
              </w:tc>
              <w:tc>
                <w:tcPr>
                  <w:tcW w:w="65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10,8</w:t>
                  </w:r>
                </w:p>
              </w:tc>
              <w:tc>
                <w:tcPr>
                  <w:tcW w:w="552"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12,7</w:t>
                  </w:r>
                </w:p>
              </w:tc>
              <w:tc>
                <w:tcPr>
                  <w:tcW w:w="62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14,13</w:t>
                  </w:r>
                </w:p>
              </w:tc>
              <w:tc>
                <w:tcPr>
                  <w:tcW w:w="690"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16,8</w:t>
                  </w:r>
                </w:p>
              </w:tc>
              <w:tc>
                <w:tcPr>
                  <w:tcW w:w="689" w:type="dxa"/>
                </w:tcPr>
                <w:p w:rsidR="00F366FA" w:rsidRPr="00F366FA" w:rsidRDefault="00F366FA" w:rsidP="00F366FA">
                  <w:pPr>
                    <w:pStyle w:val="ConsPlusNormal"/>
                    <w:spacing w:before="60" w:after="60"/>
                    <w:jc w:val="center"/>
                    <w:rPr>
                      <w:rFonts w:ascii="Times New Roman" w:hAnsi="Times New Roman" w:cs="Times New Roman"/>
                      <w:sz w:val="16"/>
                      <w:szCs w:val="16"/>
                    </w:rPr>
                  </w:pPr>
                  <w:r w:rsidRPr="00F366FA">
                    <w:rPr>
                      <w:rFonts w:ascii="Times New Roman" w:hAnsi="Times New Roman" w:cs="Times New Roman"/>
                      <w:sz w:val="16"/>
                      <w:szCs w:val="16"/>
                    </w:rPr>
                    <w:t>13,3</w:t>
                  </w:r>
                </w:p>
              </w:tc>
            </w:tr>
          </w:tbl>
          <w:p w:rsidR="00BD393F" w:rsidRPr="00D423B2" w:rsidRDefault="00BD393F" w:rsidP="00A45AC4">
            <w:pPr>
              <w:autoSpaceDE w:val="0"/>
              <w:autoSpaceDN w:val="0"/>
              <w:adjustRightInd w:val="0"/>
              <w:ind w:firstLine="709"/>
              <w:jc w:val="both"/>
              <w:rPr>
                <w:rFonts w:ascii="Times New Roman" w:eastAsia="Times New Roman" w:hAnsi="Times New Roman" w:cs="Times New Roman"/>
                <w:strike/>
                <w:sz w:val="24"/>
                <w:szCs w:val="24"/>
                <w:lang w:eastAsia="ru-RU"/>
              </w:rPr>
            </w:pP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 xml:space="preserve">В целом за счет усиленной реализации новых инвестиционных проектов в нефтеперерабатывающей промышленности республики, доля несырьевого экспорта Республики Татарстан с 2010 года выросла с 34 процентов до 58,5 процента. </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Только в 2018 году стоимостная доля нефти в объеме экспорта республики сократилась с 46,1 процента до 41,5 процента при росте экспорта нефтепродуктов с 27,7 процента до 36,4 процента.</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Основные цели развития нефтеперерабатывающей промышленности Татарстана на перспективу до 2030 года заключаются в следующем:</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достижение лучших технологических показателей, в том числе по глубине переработки нефти, отбору светлых нефтепродуктов;</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обеспечение соответствия товарной продукции требованиям современных мировых и законодательно установленных российских стандартов качества и технических регламентов;</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минимизация либо полное исключение производства нефтепродуктов-полуфабрикатов, темных нефтепродуктов;</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обеспечение минимальной зависимости от поставок вспомогательного сырья, необходимого для производства товарных высококачественных нефтепродуктов, а также заключение долгосрочных договорных отношений на поставку необходимого сырья, ввозимого из-за пределов республики;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ориентация на энерго- и ресурсосбережение предприятий отрасли.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Основной целью развития отрасли на перспективу до 2030 года является стабильное функционирование и дальнейшее формирование в Республике Татарстан технологически и экологически прогрессивной, конкурентоспособной нефтеперерабатывающей промышленности, ориентированной на обеспечение высокой глубины переработки нефти и природных битумов, выпуск сырья для химической и нефтехимической промышленности региона, производство нефтепродуктов, имеющих потенциал сбыта на российском и мировом рынках с учетом перспективных требований к их качеству.</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Задачи, которые необходимо решить для достижения данной цели: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строительство опережающими темпами современных, основанных на использовании прогрессивных технологий мирового уровня нефтеперерабатывающих производств, ориентированных на максимально глубокую переработку нефти (преимущественно высокосернистой, высоковязкой), природных битумов;</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участие в создании импортозамещающих отечественных передовых технологий по переработке нефти;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обеспечение балансировки перспективных сырьевых потребностей региональной нефтехимии с планами развития нефтепереработки;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встраивание отрасли в региональные и межрегиональные территориально-отраслевые кластеры, ориентированные на комплексную переработку природного сырья с выпуском конечной импортозамещающей и экспортоспособной продукции;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рациональное размещение новых производств, обеспечивающее сокращение транспортных и прочих инфраструктурных затрат с одновременной ориентацией на использование только тех технологий, которые обеспечат минимизацию экологического ущерба в местах базирования объектов нефтепереработки;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формирование и поддержка региональных форм территориальной организации бизнеса и инновационной деятельности – технопарков, бизнес-инкубаторов, образовательных кластеров и других, являющихся поставщиками новых технологий и кадров для отрасли;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участие в создании альтернативных технологий топлива в целях диверсификации деятельности, минимизации рисков в случае перехода мирового сообщества после 2030 года на альтернативные топливные технологии, а также в интересах синергетического воздействия на другие сферы региональной экономики;</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 xml:space="preserve">освоение новых направлений переработки нефти в рамках реализации программ развития нефтегазохимического комплекса Республики Татарстан. </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В настоящее время основным проектом АО «ТАИФ-НК» является проект строительства Комплекса по глубокой переработке тяжелых остатков (далее – КГПТО), после ввода которого нефтеперерабатывающая промышленность Российской Федерации пополнится эффективным нефтеперерабатывающим производством мирового стандарта.</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Основная цель данного масштабного, капиталоемкого стратегического проекта – исключение производства топочного высокосернистого мазута с обеспечением роста выпуска светлых высоколиквидных нефтепродуктов, соответствующих мировым и европейским требованиям качества. При проектировании КГПТО предполагается внедрение передовых ресурсосберегающих технологий и мероприятий, позволяющих снизить негативное воздействие на окружающую среду от проектируемых и действующих объектов НПЗ.</w:t>
            </w:r>
          </w:p>
          <w:p w:rsidR="00CB4506" w:rsidRPr="00CB4506" w:rsidRDefault="00CB4506" w:rsidP="00CB4506">
            <w:pPr>
              <w:autoSpaceDE w:val="0"/>
              <w:autoSpaceDN w:val="0"/>
              <w:adjustRightInd w:val="0"/>
              <w:ind w:firstLine="709"/>
              <w:jc w:val="both"/>
              <w:rPr>
                <w:rFonts w:ascii="Times New Roman" w:eastAsia="Times New Roman" w:hAnsi="Times New Roman" w:cs="Times New Roman"/>
                <w:sz w:val="24"/>
                <w:szCs w:val="24"/>
                <w:lang w:eastAsia="ru-RU"/>
              </w:rPr>
            </w:pPr>
            <w:r w:rsidRPr="00CB4506">
              <w:rPr>
                <w:rFonts w:ascii="Times New Roman" w:eastAsia="Times New Roman" w:hAnsi="Times New Roman" w:cs="Times New Roman"/>
                <w:sz w:val="24"/>
                <w:szCs w:val="24"/>
                <w:lang w:eastAsia="ru-RU"/>
              </w:rPr>
              <w:t>С пуском КГПТО, который планируется к запуску, глубина переработки нефти составит не менее 98,6 процента, и переработка нефти станет практически безотходной. Весь выпускаемый перечень продукции КГПТО будет обладать улучшенными экологическими характеристиками: пониженным содержанием серы в нафте, автобензинах и дизельном топливе (не более 10 ppm), в сжиженных углеводородных газах. Эти высококачественные и ликвидные нефтепродукты будут реализовываться в Республике Татарстан и Российской Федерации, а также отгружаться на экспорт.</w:t>
            </w:r>
          </w:p>
          <w:p w:rsidR="00A45AC4" w:rsidRDefault="00CB4506" w:rsidP="00CB4506">
            <w:pPr>
              <w:autoSpaceDE w:val="0"/>
              <w:autoSpaceDN w:val="0"/>
              <w:adjustRightInd w:val="0"/>
              <w:ind w:firstLine="709"/>
              <w:jc w:val="both"/>
              <w:rPr>
                <w:rFonts w:ascii="Times New Roman" w:eastAsia="Times New Roman" w:hAnsi="Times New Roman" w:cs="Times New Roman"/>
                <w:color w:val="000000" w:themeColor="text1"/>
                <w:sz w:val="24"/>
                <w:szCs w:val="24"/>
                <w:lang w:eastAsia="ru-RU"/>
              </w:rPr>
            </w:pPr>
            <w:r w:rsidRPr="00CB4506">
              <w:rPr>
                <w:rFonts w:ascii="Times New Roman" w:eastAsia="Times New Roman" w:hAnsi="Times New Roman" w:cs="Times New Roman"/>
                <w:sz w:val="24"/>
                <w:szCs w:val="24"/>
                <w:lang w:eastAsia="ru-RU"/>
              </w:rPr>
              <w:t xml:space="preserve">Схема перспективного развития АО «ТАИФ-НК», учитывающая реализацию крупных инвестиционных проектов по новому строительству и модернизации действующих производств, представлена на </w:t>
            </w:r>
            <w:hyperlink w:anchor="P1582" w:history="1">
              <w:r w:rsidRPr="00CB4506">
                <w:rPr>
                  <w:rStyle w:val="a9"/>
                  <w:rFonts w:ascii="Times New Roman" w:eastAsia="Times New Roman" w:hAnsi="Times New Roman" w:cs="Times New Roman"/>
                  <w:color w:val="000000" w:themeColor="text1"/>
                  <w:sz w:val="24"/>
                  <w:szCs w:val="24"/>
                  <w:u w:val="none"/>
                  <w:lang w:eastAsia="ru-RU"/>
                </w:rPr>
                <w:t>рисунке 11</w:t>
              </w:r>
            </w:hyperlink>
            <w:r w:rsidRPr="00CB4506">
              <w:rPr>
                <w:rFonts w:ascii="Times New Roman" w:eastAsia="Times New Roman" w:hAnsi="Times New Roman" w:cs="Times New Roman"/>
                <w:color w:val="000000" w:themeColor="text1"/>
                <w:sz w:val="24"/>
                <w:szCs w:val="24"/>
                <w:lang w:eastAsia="ru-RU"/>
              </w:rPr>
              <w:t>.</w:t>
            </w:r>
          </w:p>
          <w:p w:rsidR="00E25C35" w:rsidRDefault="00E25C35" w:rsidP="00CB4506">
            <w:pPr>
              <w:autoSpaceDE w:val="0"/>
              <w:autoSpaceDN w:val="0"/>
              <w:adjustRightInd w:val="0"/>
              <w:ind w:firstLine="709"/>
              <w:jc w:val="both"/>
              <w:rPr>
                <w:rFonts w:ascii="Times New Roman" w:eastAsia="Times New Roman" w:hAnsi="Times New Roman" w:cs="Times New Roman"/>
                <w:color w:val="000000" w:themeColor="text1"/>
                <w:sz w:val="24"/>
                <w:szCs w:val="24"/>
                <w:lang w:eastAsia="ru-RU"/>
              </w:rPr>
            </w:pPr>
          </w:p>
          <w:p w:rsidR="00E25C35" w:rsidRPr="00D423B2" w:rsidRDefault="00E25C35" w:rsidP="00CB4506">
            <w:pPr>
              <w:autoSpaceDE w:val="0"/>
              <w:autoSpaceDN w:val="0"/>
              <w:adjustRightInd w:val="0"/>
              <w:ind w:firstLine="709"/>
              <w:jc w:val="both"/>
              <w:rPr>
                <w:rFonts w:ascii="Times New Roman" w:eastAsia="Times New Roman" w:hAnsi="Times New Roman" w:cs="Times New Roman"/>
                <w:sz w:val="24"/>
                <w:szCs w:val="24"/>
                <w:lang w:eastAsia="ru-RU"/>
              </w:rPr>
            </w:pPr>
          </w:p>
          <w:p w:rsidR="002E529E" w:rsidRDefault="008D63B9" w:rsidP="008D63B9">
            <w:pPr>
              <w:jc w:val="center"/>
              <w:rPr>
                <w:rFonts w:ascii="Times New Roman" w:hAnsi="Times New Roman" w:cs="Times New Roman"/>
                <w:sz w:val="16"/>
                <w:szCs w:val="16"/>
              </w:rPr>
            </w:pPr>
            <w:r w:rsidRPr="00D423B2">
              <w:rPr>
                <w:rFonts w:ascii="Times New Roman" w:hAnsi="Times New Roman" w:cs="Times New Roman"/>
                <w:noProof/>
                <w:sz w:val="16"/>
                <w:szCs w:val="16"/>
                <w:lang w:eastAsia="ru-RU"/>
              </w:rPr>
              <w:drawing>
                <wp:inline distT="0" distB="0" distL="0" distR="0" wp14:anchorId="54220505" wp14:editId="3827614A">
                  <wp:extent cx="2052976" cy="1933575"/>
                  <wp:effectExtent l="0" t="0" r="444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54110" cy="1934643"/>
                          </a:xfrm>
                          <a:prstGeom prst="rect">
                            <a:avLst/>
                          </a:prstGeom>
                          <a:noFill/>
                        </pic:spPr>
                      </pic:pic>
                    </a:graphicData>
                  </a:graphic>
                </wp:inline>
              </w:drawing>
            </w:r>
          </w:p>
          <w:p w:rsidR="009E6435" w:rsidRPr="00D423B2" w:rsidRDefault="009E6435" w:rsidP="008D63B9">
            <w:pPr>
              <w:jc w:val="center"/>
              <w:rPr>
                <w:rFonts w:ascii="Times New Roman" w:hAnsi="Times New Roman" w:cs="Times New Roman"/>
                <w:sz w:val="16"/>
                <w:szCs w:val="16"/>
              </w:rPr>
            </w:pPr>
          </w:p>
          <w:p w:rsidR="00E25C35" w:rsidRPr="00E25C35" w:rsidRDefault="00E25C35" w:rsidP="00E25C35">
            <w:pPr>
              <w:autoSpaceDE w:val="0"/>
              <w:autoSpaceDN w:val="0"/>
              <w:adjustRightInd w:val="0"/>
              <w:jc w:val="center"/>
              <w:rPr>
                <w:rFonts w:ascii="Times New Roman" w:eastAsia="Times New Roman" w:hAnsi="Times New Roman" w:cs="Times New Roman"/>
                <w:sz w:val="16"/>
                <w:szCs w:val="16"/>
                <w:lang w:eastAsia="ru-RU"/>
              </w:rPr>
            </w:pPr>
            <w:r w:rsidRPr="00E25C35">
              <w:rPr>
                <w:rFonts w:ascii="Times New Roman" w:eastAsia="Times New Roman" w:hAnsi="Times New Roman" w:cs="Times New Roman"/>
                <w:sz w:val="16"/>
                <w:szCs w:val="16"/>
                <w:lang w:eastAsia="ru-RU"/>
              </w:rPr>
              <w:t>Рис. 11. Схема перспективного развития АО «ТАИФ-НК»</w:t>
            </w:r>
          </w:p>
          <w:p w:rsidR="009B4177" w:rsidRPr="00D423B2" w:rsidRDefault="009B4177" w:rsidP="008D63B9">
            <w:pPr>
              <w:jc w:val="center"/>
              <w:rPr>
                <w:rFonts w:ascii="Times New Roman" w:hAnsi="Times New Roman" w:cs="Times New Roman"/>
                <w:sz w:val="16"/>
                <w:szCs w:val="16"/>
              </w:rPr>
            </w:pPr>
            <w:r w:rsidRPr="00D423B2">
              <w:rPr>
                <w:rFonts w:ascii="Times New Roman" w:hAnsi="Times New Roman" w:cs="Times New Roman"/>
                <w:sz w:val="16"/>
                <w:szCs w:val="16"/>
              </w:rPr>
              <w:t xml:space="preserve">          </w:t>
            </w:r>
          </w:p>
          <w:p w:rsidR="009E6435" w:rsidRDefault="009B4177" w:rsidP="009B4177">
            <w:pPr>
              <w:jc w:val="both"/>
              <w:rPr>
                <w:rFonts w:ascii="Times New Roman" w:hAnsi="Times New Roman" w:cs="Times New Roman"/>
                <w:sz w:val="24"/>
                <w:szCs w:val="24"/>
              </w:rPr>
            </w:pPr>
            <w:r w:rsidRPr="00D423B2">
              <w:rPr>
                <w:rFonts w:ascii="Times New Roman" w:hAnsi="Times New Roman" w:cs="Times New Roman"/>
                <w:sz w:val="24"/>
                <w:szCs w:val="24"/>
              </w:rPr>
              <w:t xml:space="preserve">               </w:t>
            </w:r>
          </w:p>
          <w:p w:rsidR="008D63B9" w:rsidRPr="00D423B2" w:rsidRDefault="009B4177" w:rsidP="009B4177">
            <w:pPr>
              <w:jc w:val="both"/>
              <w:rPr>
                <w:rFonts w:ascii="Times New Roman" w:hAnsi="Times New Roman" w:cs="Times New Roman"/>
                <w:sz w:val="24"/>
                <w:szCs w:val="24"/>
              </w:rPr>
            </w:pPr>
            <w:r w:rsidRPr="00D423B2">
              <w:rPr>
                <w:rFonts w:ascii="Times New Roman" w:hAnsi="Times New Roman" w:cs="Times New Roman"/>
                <w:sz w:val="24"/>
                <w:szCs w:val="24"/>
              </w:rPr>
              <w:t xml:space="preserve"> </w:t>
            </w:r>
            <w:r w:rsidR="009E6435">
              <w:rPr>
                <w:rFonts w:ascii="Times New Roman" w:hAnsi="Times New Roman" w:cs="Times New Roman"/>
                <w:sz w:val="24"/>
                <w:szCs w:val="24"/>
              </w:rPr>
              <w:t xml:space="preserve">           </w:t>
            </w:r>
            <w:r w:rsidRPr="00D423B2">
              <w:rPr>
                <w:rFonts w:ascii="Times New Roman" w:hAnsi="Times New Roman" w:cs="Times New Roman"/>
                <w:sz w:val="24"/>
                <w:szCs w:val="24"/>
              </w:rPr>
              <w:t>Схема перспективного развития Комплекса «ТАНЕКО» по э</w:t>
            </w:r>
            <w:r w:rsidR="009E6435">
              <w:rPr>
                <w:rFonts w:ascii="Times New Roman" w:hAnsi="Times New Roman" w:cs="Times New Roman"/>
                <w:sz w:val="24"/>
                <w:szCs w:val="24"/>
              </w:rPr>
              <w:t>тапам представлена на рисунке 12</w:t>
            </w:r>
            <w:r w:rsidRPr="00D423B2">
              <w:rPr>
                <w:rFonts w:ascii="Times New Roman" w:hAnsi="Times New Roman" w:cs="Times New Roman"/>
                <w:sz w:val="24"/>
                <w:szCs w:val="24"/>
              </w:rPr>
              <w:t>.</w:t>
            </w:r>
          </w:p>
          <w:p w:rsidR="00F05131" w:rsidRPr="00D423B2" w:rsidRDefault="00F05131" w:rsidP="00F05131">
            <w:pPr>
              <w:jc w:val="center"/>
              <w:rPr>
                <w:rFonts w:ascii="Times New Roman" w:hAnsi="Times New Roman" w:cs="Times New Roman"/>
                <w:sz w:val="24"/>
                <w:szCs w:val="24"/>
              </w:rPr>
            </w:pPr>
          </w:p>
          <w:p w:rsidR="00F05131" w:rsidRPr="00D423B2" w:rsidRDefault="00F05131" w:rsidP="00F05131">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59CC30DE" wp14:editId="097B9E73">
                  <wp:extent cx="2517775" cy="1731645"/>
                  <wp:effectExtent l="0" t="0" r="0" b="190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517775" cy="1731645"/>
                          </a:xfrm>
                          <a:prstGeom prst="rect">
                            <a:avLst/>
                          </a:prstGeom>
                          <a:noFill/>
                        </pic:spPr>
                      </pic:pic>
                    </a:graphicData>
                  </a:graphic>
                </wp:inline>
              </w:drawing>
            </w:r>
          </w:p>
          <w:p w:rsidR="0052299C" w:rsidRPr="00D423B2" w:rsidRDefault="0052299C" w:rsidP="0052299C">
            <w:pPr>
              <w:jc w:val="center"/>
              <w:rPr>
                <w:rFonts w:ascii="Times New Roman" w:eastAsia="Times New Roman" w:hAnsi="Times New Roman" w:cs="Times New Roman"/>
                <w:sz w:val="16"/>
                <w:szCs w:val="16"/>
                <w:lang w:eastAsia="ru-RU"/>
              </w:rPr>
            </w:pPr>
          </w:p>
          <w:p w:rsidR="0052299C" w:rsidRPr="00D423B2" w:rsidRDefault="00110308" w:rsidP="0052299C">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Рис. 12</w:t>
            </w:r>
            <w:r w:rsidR="0052299C" w:rsidRPr="00D423B2">
              <w:rPr>
                <w:rFonts w:ascii="Times New Roman" w:eastAsia="Times New Roman" w:hAnsi="Times New Roman" w:cs="Times New Roman"/>
                <w:sz w:val="16"/>
                <w:szCs w:val="16"/>
                <w:lang w:eastAsia="ru-RU"/>
              </w:rPr>
              <w:t>. Перспективная схема развития Комплекса «ТАНЕКО»</w:t>
            </w:r>
          </w:p>
          <w:p w:rsidR="0052299C" w:rsidRPr="00D423B2" w:rsidRDefault="0052299C" w:rsidP="00F05131">
            <w:pPr>
              <w:jc w:val="center"/>
              <w:rPr>
                <w:rFonts w:ascii="Times New Roman" w:hAnsi="Times New Roman" w:cs="Times New Roman"/>
                <w:sz w:val="24"/>
                <w:szCs w:val="24"/>
              </w:rPr>
            </w:pP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 xml:space="preserve">В рамках следующих этапов реализации проекта строительства Комплекса «ТАНЕКО» планируются к пуску следующие установки: </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2019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 xml:space="preserve">ЭЛОУ-АВТ-6 с блоком стабилизации нафты – 6 000 тыс. тонн/год; </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вакуумный блок висбрекинга – 2 000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гидроочистки тяжелого газойля коксования – 850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сульфолан – 141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2020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каталитического крекинга – 1 100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опытно-промышленная установка гидроконверсии гудрона – 50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2021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комплекс получения ароматических углеводородов – 714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гидроочистки средних дистиллятов – 3 700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изодепарафинизации дизельного топлива – 1 300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производства водорода – 100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2022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газофракционирующая установка – 350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2023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алкилирования – 180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2026 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гидроочистки нафты-2 – 1 700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гидрокрекинга-2 – 1 200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установка гидроконверсии – 2 500 тыс. тонн/год.</w:t>
            </w:r>
          </w:p>
          <w:p w:rsidR="00E253C4" w:rsidRPr="00E253C4" w:rsidRDefault="00E253C4" w:rsidP="00E253C4">
            <w:pPr>
              <w:pBdr>
                <w:top w:val="nil"/>
                <w:left w:val="nil"/>
                <w:bottom w:val="nil"/>
                <w:right w:val="nil"/>
                <w:between w:val="nil"/>
                <w:bar w:val="nil"/>
              </w:pBdr>
              <w:ind w:firstLine="708"/>
              <w:jc w:val="both"/>
              <w:rPr>
                <w:rFonts w:ascii="Times New Roman" w:eastAsia="Times New Roman" w:hAnsi="Times New Roman" w:cs="Times New Roman"/>
                <w:sz w:val="24"/>
                <w:szCs w:val="24"/>
                <w:lang w:eastAsia="ru-RU"/>
              </w:rPr>
            </w:pPr>
            <w:r w:rsidRPr="00E253C4">
              <w:rPr>
                <w:rFonts w:ascii="Times New Roman" w:eastAsia="Times New Roman" w:hAnsi="Times New Roman" w:cs="Times New Roman"/>
                <w:sz w:val="24"/>
                <w:szCs w:val="24"/>
                <w:lang w:eastAsia="ru-RU"/>
              </w:rPr>
              <w:t xml:space="preserve">В рассматриваемом сценарии развития нефтепереработки в период </w:t>
            </w:r>
            <w:r w:rsidRPr="00E253C4">
              <w:rPr>
                <w:rFonts w:ascii="Times New Roman" w:eastAsia="Times New Roman" w:hAnsi="Times New Roman" w:cs="Times New Roman"/>
                <w:sz w:val="24"/>
                <w:szCs w:val="24"/>
                <w:lang w:eastAsia="ru-RU"/>
              </w:rPr>
              <w:br/>
              <w:t xml:space="preserve">до 2030 года на всех нефтеперерабатывающих производствах Республики Татарстан предполагается более активный инвестиционно-инновационный процесс (данные по инвестициям представлены в </w:t>
            </w:r>
            <w:hyperlink w:anchor="P1607" w:history="1">
              <w:r w:rsidRPr="00E253C4">
                <w:rPr>
                  <w:rStyle w:val="a9"/>
                  <w:rFonts w:ascii="Times New Roman" w:eastAsia="Times New Roman" w:hAnsi="Times New Roman" w:cs="Times New Roman"/>
                  <w:color w:val="000000" w:themeColor="text1"/>
                  <w:sz w:val="24"/>
                  <w:szCs w:val="24"/>
                  <w:u w:val="none"/>
                  <w:lang w:eastAsia="ru-RU"/>
                </w:rPr>
                <w:t>таблице 11</w:t>
              </w:r>
            </w:hyperlink>
            <w:r w:rsidRPr="00E253C4">
              <w:rPr>
                <w:rFonts w:ascii="Times New Roman" w:eastAsia="Times New Roman" w:hAnsi="Times New Roman" w:cs="Times New Roman"/>
                <w:color w:val="000000" w:themeColor="text1"/>
                <w:sz w:val="24"/>
                <w:szCs w:val="24"/>
                <w:lang w:eastAsia="ru-RU"/>
              </w:rPr>
              <w:t>).</w:t>
            </w:r>
            <w:r w:rsidRPr="00E253C4">
              <w:rPr>
                <w:rFonts w:ascii="Times New Roman" w:eastAsia="Times New Roman" w:hAnsi="Times New Roman" w:cs="Times New Roman"/>
                <w:sz w:val="24"/>
                <w:szCs w:val="24"/>
                <w:lang w:eastAsia="ru-RU"/>
              </w:rPr>
              <w:t xml:space="preserve"> Данный процесс будет финансироваться в основном за счет собственных средств предприятий, и результатом его станет не столько увеличение физических объемов выпуска, сколько техническое перевооружение действующих производств за счет внедрения новых технологий, разрабатываемых собственными силами предприятий, а также сторонними организациями как Республики Татарстан, так и Российской Федерации.</w:t>
            </w:r>
          </w:p>
          <w:p w:rsidR="00E253C4" w:rsidRDefault="00E253C4" w:rsidP="004C7A98">
            <w:pPr>
              <w:autoSpaceDE w:val="0"/>
              <w:autoSpaceDN w:val="0"/>
              <w:adjustRightInd w:val="0"/>
              <w:jc w:val="right"/>
              <w:outlineLvl w:val="3"/>
              <w:rPr>
                <w:rFonts w:ascii="Times New Roman" w:eastAsia="Times New Roman" w:hAnsi="Times New Roman" w:cs="Times New Roman"/>
                <w:sz w:val="24"/>
                <w:szCs w:val="24"/>
                <w:lang w:eastAsia="ru-RU"/>
              </w:rPr>
            </w:pPr>
          </w:p>
          <w:p w:rsidR="004C7A98" w:rsidRPr="00D423B2" w:rsidRDefault="004C7A98" w:rsidP="004C7A98">
            <w:pPr>
              <w:autoSpaceDE w:val="0"/>
              <w:autoSpaceDN w:val="0"/>
              <w:adjustRightInd w:val="0"/>
              <w:jc w:val="right"/>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w:t>
            </w:r>
            <w:r w:rsidR="00E253C4">
              <w:rPr>
                <w:rFonts w:ascii="Times New Roman" w:eastAsia="Times New Roman" w:hAnsi="Times New Roman" w:cs="Times New Roman"/>
                <w:sz w:val="24"/>
                <w:szCs w:val="24"/>
                <w:lang w:eastAsia="ru-RU"/>
              </w:rPr>
              <w:t xml:space="preserve">аблица </w:t>
            </w:r>
            <w:r w:rsidRPr="00D423B2">
              <w:rPr>
                <w:rFonts w:ascii="Times New Roman" w:eastAsia="Times New Roman" w:hAnsi="Times New Roman" w:cs="Times New Roman"/>
                <w:sz w:val="24"/>
                <w:szCs w:val="24"/>
                <w:lang w:eastAsia="ru-RU"/>
              </w:rPr>
              <w:t>11</w:t>
            </w:r>
          </w:p>
          <w:p w:rsidR="004C7A98" w:rsidRPr="00D423B2" w:rsidRDefault="004C7A98" w:rsidP="004C7A98">
            <w:pPr>
              <w:autoSpaceDE w:val="0"/>
              <w:autoSpaceDN w:val="0"/>
              <w:adjustRightInd w:val="0"/>
              <w:jc w:val="both"/>
              <w:rPr>
                <w:rFonts w:ascii="Times New Roman" w:eastAsia="Times New Roman" w:hAnsi="Times New Roman" w:cs="Times New Roman"/>
                <w:sz w:val="24"/>
                <w:szCs w:val="24"/>
                <w:lang w:eastAsia="ru-RU"/>
              </w:rPr>
            </w:pPr>
          </w:p>
          <w:p w:rsidR="00F71592" w:rsidRPr="00F71592" w:rsidRDefault="00F71592" w:rsidP="00D72F10">
            <w:pPr>
              <w:autoSpaceDE w:val="0"/>
              <w:autoSpaceDN w:val="0"/>
              <w:adjustRightInd w:val="0"/>
              <w:jc w:val="center"/>
              <w:rPr>
                <w:rFonts w:ascii="Times New Roman" w:eastAsia="Times New Roman" w:hAnsi="Times New Roman" w:cs="Times New Roman"/>
                <w:sz w:val="24"/>
                <w:szCs w:val="24"/>
                <w:lang w:eastAsia="ru-RU"/>
              </w:rPr>
            </w:pPr>
            <w:r w:rsidRPr="00F71592">
              <w:rPr>
                <w:rFonts w:ascii="Times New Roman" w:eastAsia="Times New Roman" w:hAnsi="Times New Roman" w:cs="Times New Roman"/>
                <w:sz w:val="24"/>
                <w:szCs w:val="24"/>
                <w:lang w:eastAsia="ru-RU"/>
              </w:rPr>
              <w:t>Объем инвестиций в развитие нефтеперерабатывающей отрасли</w:t>
            </w:r>
            <w:r w:rsidR="00D72F10">
              <w:rPr>
                <w:rFonts w:ascii="Times New Roman" w:eastAsia="Times New Roman" w:hAnsi="Times New Roman" w:cs="Times New Roman"/>
                <w:sz w:val="24"/>
                <w:szCs w:val="24"/>
                <w:lang w:eastAsia="ru-RU"/>
              </w:rPr>
              <w:t xml:space="preserve"> </w:t>
            </w:r>
            <w:r w:rsidRPr="00F71592">
              <w:rPr>
                <w:rFonts w:ascii="Times New Roman" w:eastAsia="Times New Roman" w:hAnsi="Times New Roman" w:cs="Times New Roman"/>
                <w:sz w:val="24"/>
                <w:szCs w:val="24"/>
                <w:lang w:eastAsia="ru-RU"/>
              </w:rPr>
              <w:t>Республики Татарстан (по данным предприятий отрасли)</w:t>
            </w:r>
          </w:p>
          <w:p w:rsidR="004C7A98" w:rsidRPr="00D423B2" w:rsidRDefault="004C7A98" w:rsidP="007C58E9">
            <w:pPr>
              <w:autoSpaceDE w:val="0"/>
              <w:autoSpaceDN w:val="0"/>
              <w:adjustRightInd w:val="0"/>
              <w:ind w:firstLine="709"/>
              <w:jc w:val="both"/>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123"/>
              <w:gridCol w:w="724"/>
              <w:gridCol w:w="724"/>
              <w:gridCol w:w="724"/>
              <w:gridCol w:w="724"/>
            </w:tblGrid>
            <w:tr w:rsidR="002634AA" w:rsidRPr="002634AA" w:rsidTr="001F0D96">
              <w:tc>
                <w:tcPr>
                  <w:tcW w:w="2116"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Наименование показателя / годы</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2017 – 2018</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2019 – 2023</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2024 – 2028</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2029 – 2030</w:t>
                  </w:r>
                </w:p>
              </w:tc>
            </w:tr>
            <w:tr w:rsidR="002634AA" w:rsidRPr="002634AA" w:rsidTr="001F0D96">
              <w:tc>
                <w:tcPr>
                  <w:tcW w:w="2116" w:type="pct"/>
                </w:tcPr>
                <w:p w:rsidR="002634AA" w:rsidRPr="002634AA" w:rsidRDefault="002634AA" w:rsidP="002634AA">
                  <w:pPr>
                    <w:pStyle w:val="ConsPlusNormal"/>
                    <w:spacing w:before="60" w:after="60"/>
                    <w:jc w:val="both"/>
                    <w:rPr>
                      <w:rFonts w:ascii="Times New Roman" w:hAnsi="Times New Roman" w:cs="Times New Roman"/>
                      <w:sz w:val="16"/>
                      <w:szCs w:val="16"/>
                    </w:rPr>
                  </w:pPr>
                  <w:r w:rsidRPr="002634AA">
                    <w:rPr>
                      <w:rFonts w:ascii="Times New Roman" w:hAnsi="Times New Roman" w:cs="Times New Roman"/>
                      <w:sz w:val="16"/>
                      <w:szCs w:val="16"/>
                    </w:rPr>
                    <w:t>Объем инвестиций в основной капитал предприятий нефтепереработки, млрд рублей, в том числе</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104,61</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130,52</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83,01</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4,91</w:t>
                  </w:r>
                </w:p>
              </w:tc>
            </w:tr>
            <w:tr w:rsidR="002634AA" w:rsidRPr="002634AA" w:rsidTr="001F0D96">
              <w:tc>
                <w:tcPr>
                  <w:tcW w:w="2116" w:type="pct"/>
                </w:tcPr>
                <w:p w:rsidR="002634AA" w:rsidRPr="002634AA" w:rsidRDefault="002634AA" w:rsidP="002634AA">
                  <w:pPr>
                    <w:pStyle w:val="ConsPlusNormal"/>
                    <w:spacing w:before="60" w:after="60"/>
                    <w:ind w:left="431"/>
                    <w:rPr>
                      <w:rFonts w:ascii="Times New Roman" w:hAnsi="Times New Roman" w:cs="Times New Roman"/>
                      <w:sz w:val="16"/>
                      <w:szCs w:val="16"/>
                    </w:rPr>
                  </w:pPr>
                  <w:r w:rsidRPr="002634AA">
                    <w:rPr>
                      <w:rFonts w:ascii="Times New Roman" w:hAnsi="Times New Roman" w:cs="Times New Roman"/>
                      <w:sz w:val="16"/>
                      <w:szCs w:val="16"/>
                    </w:rPr>
                    <w:t>ПАО «Татнефть»</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73,21</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117,55</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74,68</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1,58</w:t>
                  </w:r>
                </w:p>
              </w:tc>
            </w:tr>
            <w:tr w:rsidR="002634AA" w:rsidRPr="002634AA" w:rsidTr="001F0D96">
              <w:tc>
                <w:tcPr>
                  <w:tcW w:w="2116" w:type="pct"/>
                </w:tcPr>
                <w:p w:rsidR="002634AA" w:rsidRPr="002634AA" w:rsidRDefault="002634AA" w:rsidP="002634AA">
                  <w:pPr>
                    <w:pStyle w:val="ConsPlusNormal"/>
                    <w:spacing w:before="60" w:after="60"/>
                    <w:ind w:left="431"/>
                    <w:rPr>
                      <w:rFonts w:ascii="Times New Roman" w:hAnsi="Times New Roman" w:cs="Times New Roman"/>
                      <w:sz w:val="16"/>
                      <w:szCs w:val="16"/>
                    </w:rPr>
                  </w:pPr>
                  <w:r w:rsidRPr="002634AA">
                    <w:rPr>
                      <w:rFonts w:ascii="Times New Roman" w:hAnsi="Times New Roman" w:cs="Times New Roman"/>
                      <w:sz w:val="16"/>
                      <w:szCs w:val="16"/>
                    </w:rPr>
                    <w:t>АО «ТАИФ-НК»</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31,4</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12,97</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8,33</w:t>
                  </w:r>
                </w:p>
              </w:tc>
              <w:tc>
                <w:tcPr>
                  <w:tcW w:w="721" w:type="pct"/>
                  <w:vAlign w:val="center"/>
                </w:tcPr>
                <w:p w:rsidR="002634AA" w:rsidRPr="002634AA" w:rsidRDefault="002634AA" w:rsidP="002634AA">
                  <w:pPr>
                    <w:pStyle w:val="ConsPlusNormal"/>
                    <w:spacing w:before="60" w:after="60"/>
                    <w:jc w:val="center"/>
                    <w:rPr>
                      <w:rFonts w:ascii="Times New Roman" w:hAnsi="Times New Roman" w:cs="Times New Roman"/>
                      <w:sz w:val="16"/>
                      <w:szCs w:val="16"/>
                    </w:rPr>
                  </w:pPr>
                  <w:r w:rsidRPr="002634AA">
                    <w:rPr>
                      <w:rFonts w:ascii="Times New Roman" w:hAnsi="Times New Roman" w:cs="Times New Roman"/>
                      <w:sz w:val="16"/>
                      <w:szCs w:val="16"/>
                    </w:rPr>
                    <w:t>3,33</w:t>
                  </w:r>
                </w:p>
              </w:tc>
            </w:tr>
          </w:tbl>
          <w:p w:rsidR="00C57D6D" w:rsidRDefault="00C57D6D" w:rsidP="003A5248">
            <w:pPr>
              <w:autoSpaceDE w:val="0"/>
              <w:autoSpaceDN w:val="0"/>
              <w:adjustRightInd w:val="0"/>
              <w:jc w:val="right"/>
              <w:outlineLvl w:val="3"/>
              <w:rPr>
                <w:rFonts w:ascii="Times New Roman" w:eastAsia="Times New Roman" w:hAnsi="Times New Roman" w:cs="Times New Roman"/>
                <w:sz w:val="24"/>
                <w:szCs w:val="24"/>
                <w:lang w:eastAsia="ru-RU"/>
              </w:rPr>
            </w:pPr>
          </w:p>
          <w:p w:rsidR="001D5B7D" w:rsidRPr="001D5B7D" w:rsidRDefault="001D5B7D" w:rsidP="001D5B7D">
            <w:pPr>
              <w:autoSpaceDE w:val="0"/>
              <w:autoSpaceDN w:val="0"/>
              <w:adjustRightInd w:val="0"/>
              <w:ind w:firstLine="709"/>
              <w:jc w:val="both"/>
              <w:rPr>
                <w:rFonts w:ascii="Times New Roman" w:eastAsia="Times New Roman" w:hAnsi="Times New Roman" w:cs="Times New Roman"/>
                <w:sz w:val="24"/>
                <w:szCs w:val="24"/>
                <w:lang w:eastAsia="ru-RU"/>
              </w:rPr>
            </w:pPr>
            <w:r w:rsidRPr="001D5B7D">
              <w:rPr>
                <w:rFonts w:ascii="Times New Roman" w:eastAsia="Times New Roman" w:hAnsi="Times New Roman" w:cs="Times New Roman"/>
                <w:sz w:val="24"/>
                <w:szCs w:val="24"/>
                <w:lang w:eastAsia="ru-RU"/>
              </w:rPr>
              <w:t>Предполагается, что к 2026 году научный и технологический потенциал нефтеперерабатывающей отрасли республики достигнет конкурентоспособного уровня, и о собственных новых технологиях можно будет говорить как об экспортоспособном и импортозамещающем продукте.</w:t>
            </w:r>
          </w:p>
          <w:p w:rsidR="001D5B7D" w:rsidRPr="001D5B7D" w:rsidRDefault="001D5B7D" w:rsidP="001D5B7D">
            <w:pPr>
              <w:autoSpaceDE w:val="0"/>
              <w:autoSpaceDN w:val="0"/>
              <w:adjustRightInd w:val="0"/>
              <w:ind w:firstLine="709"/>
              <w:jc w:val="both"/>
              <w:rPr>
                <w:rFonts w:ascii="Times New Roman" w:eastAsia="Times New Roman" w:hAnsi="Times New Roman" w:cs="Times New Roman"/>
                <w:sz w:val="24"/>
                <w:szCs w:val="24"/>
                <w:lang w:eastAsia="ru-RU"/>
              </w:rPr>
            </w:pPr>
            <w:r w:rsidRPr="001D5B7D">
              <w:rPr>
                <w:rFonts w:ascii="Times New Roman" w:eastAsia="Times New Roman" w:hAnsi="Times New Roman" w:cs="Times New Roman"/>
                <w:sz w:val="24"/>
                <w:szCs w:val="24"/>
                <w:lang w:eastAsia="ru-RU"/>
              </w:rPr>
              <w:t xml:space="preserve">В результате реализации инвестиционных программ предприятий отрасли мощности по переработке нефти в Республике Татарстан возрастут с 17 млн тонн до 24 млн тонн с соответствующим ростом объемов выпуска и экспорта нефтепродуктов, а также поставкой нефтепродуктов и углеводородных газов на предприятия нефтехимии Республики Татарстан в рамках дальнейшего развития внутриреспубликанской кооперации по переработке углеводородного сырья </w:t>
            </w:r>
            <w:hyperlink w:anchor="P1629" w:history="1">
              <w:r w:rsidRPr="001D5B7D">
                <w:rPr>
                  <w:rFonts w:ascii="Times New Roman" w:eastAsia="Times New Roman" w:hAnsi="Times New Roman" w:cs="Times New Roman"/>
                  <w:sz w:val="24"/>
                  <w:szCs w:val="24"/>
                  <w:lang w:eastAsia="ru-RU"/>
                </w:rPr>
                <w:t>(таблица 12)</w:t>
              </w:r>
            </w:hyperlink>
            <w:r w:rsidRPr="001D5B7D">
              <w:rPr>
                <w:rFonts w:ascii="Times New Roman" w:eastAsia="Times New Roman" w:hAnsi="Times New Roman" w:cs="Times New Roman"/>
                <w:sz w:val="24"/>
                <w:szCs w:val="24"/>
                <w:lang w:eastAsia="ru-RU"/>
              </w:rPr>
              <w:t>.</w:t>
            </w:r>
          </w:p>
          <w:p w:rsidR="001D5B7D" w:rsidRDefault="001D5B7D" w:rsidP="003A5248">
            <w:pPr>
              <w:autoSpaceDE w:val="0"/>
              <w:autoSpaceDN w:val="0"/>
              <w:adjustRightInd w:val="0"/>
              <w:jc w:val="right"/>
              <w:outlineLvl w:val="3"/>
              <w:rPr>
                <w:rFonts w:ascii="Times New Roman" w:eastAsia="Times New Roman" w:hAnsi="Times New Roman" w:cs="Times New Roman"/>
                <w:sz w:val="24"/>
                <w:szCs w:val="24"/>
                <w:lang w:eastAsia="ru-RU"/>
              </w:rPr>
            </w:pPr>
          </w:p>
          <w:p w:rsidR="003A5248" w:rsidRPr="00D423B2" w:rsidRDefault="00C57D6D" w:rsidP="003A5248">
            <w:pPr>
              <w:autoSpaceDE w:val="0"/>
              <w:autoSpaceDN w:val="0"/>
              <w:adjustRightInd w:val="0"/>
              <w:jc w:val="right"/>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Таблица </w:t>
            </w:r>
            <w:r w:rsidR="003A5248" w:rsidRPr="00D423B2">
              <w:rPr>
                <w:rFonts w:ascii="Times New Roman" w:eastAsia="Times New Roman" w:hAnsi="Times New Roman" w:cs="Times New Roman"/>
                <w:sz w:val="24"/>
                <w:szCs w:val="24"/>
                <w:lang w:eastAsia="ru-RU"/>
              </w:rPr>
              <w:t>12</w:t>
            </w:r>
          </w:p>
          <w:p w:rsidR="003A5248" w:rsidRPr="00D423B2" w:rsidRDefault="003A5248" w:rsidP="003A5248">
            <w:pPr>
              <w:autoSpaceDE w:val="0"/>
              <w:autoSpaceDN w:val="0"/>
              <w:adjustRightInd w:val="0"/>
              <w:jc w:val="both"/>
              <w:rPr>
                <w:rFonts w:ascii="Times New Roman" w:eastAsia="Times New Roman" w:hAnsi="Times New Roman" w:cs="Times New Roman"/>
                <w:sz w:val="24"/>
                <w:szCs w:val="24"/>
                <w:lang w:eastAsia="ru-RU"/>
              </w:rPr>
            </w:pPr>
          </w:p>
          <w:p w:rsidR="00DC4EA6" w:rsidRDefault="00DC4EA6" w:rsidP="00DC4EA6">
            <w:pPr>
              <w:autoSpaceDE w:val="0"/>
              <w:autoSpaceDN w:val="0"/>
              <w:adjustRightInd w:val="0"/>
              <w:jc w:val="center"/>
              <w:rPr>
                <w:rFonts w:ascii="Times New Roman" w:eastAsia="Times New Roman" w:hAnsi="Times New Roman" w:cs="Times New Roman"/>
                <w:sz w:val="24"/>
                <w:szCs w:val="24"/>
                <w:lang w:eastAsia="ru-RU"/>
              </w:rPr>
            </w:pPr>
            <w:r w:rsidRPr="00DC4EA6">
              <w:rPr>
                <w:rFonts w:ascii="Times New Roman" w:eastAsia="Times New Roman" w:hAnsi="Times New Roman" w:cs="Times New Roman"/>
                <w:sz w:val="24"/>
                <w:szCs w:val="24"/>
                <w:lang w:eastAsia="ru-RU"/>
              </w:rPr>
              <w:t>Перспективный объем перерабатываемой нефти в АО «ТАИФ-НК»</w:t>
            </w:r>
            <w:r>
              <w:rPr>
                <w:rFonts w:ascii="Times New Roman" w:eastAsia="Times New Roman" w:hAnsi="Times New Roman" w:cs="Times New Roman"/>
                <w:sz w:val="24"/>
                <w:szCs w:val="24"/>
                <w:lang w:eastAsia="ru-RU"/>
              </w:rPr>
              <w:t xml:space="preserve"> </w:t>
            </w:r>
            <w:r w:rsidRPr="00DC4EA6">
              <w:rPr>
                <w:rFonts w:ascii="Times New Roman" w:eastAsia="Times New Roman" w:hAnsi="Times New Roman" w:cs="Times New Roman"/>
                <w:sz w:val="24"/>
                <w:szCs w:val="24"/>
                <w:lang w:eastAsia="ru-RU"/>
              </w:rPr>
              <w:t>и Комплексе «ТАНЕКО» (по прогнозным данным предприятий отрасли)</w:t>
            </w:r>
          </w:p>
          <w:p w:rsidR="003362E9" w:rsidRPr="00DC4EA6" w:rsidRDefault="003362E9" w:rsidP="00DC4EA6">
            <w:pPr>
              <w:autoSpaceDE w:val="0"/>
              <w:autoSpaceDN w:val="0"/>
              <w:adjustRightInd w:val="0"/>
              <w:jc w:val="center"/>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235"/>
              <w:gridCol w:w="557"/>
              <w:gridCol w:w="557"/>
              <w:gridCol w:w="557"/>
              <w:gridCol w:w="557"/>
              <w:gridCol w:w="556"/>
            </w:tblGrid>
            <w:tr w:rsidR="003362E9" w:rsidRPr="003362E9" w:rsidTr="001F0D96">
              <w:tc>
                <w:tcPr>
                  <w:tcW w:w="2226"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Наименование показателя / годы</w:t>
                  </w:r>
                </w:p>
              </w:tc>
              <w:tc>
                <w:tcPr>
                  <w:tcW w:w="555"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2017</w:t>
                  </w:r>
                </w:p>
              </w:tc>
              <w:tc>
                <w:tcPr>
                  <w:tcW w:w="555"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2018</w:t>
                  </w:r>
                </w:p>
              </w:tc>
              <w:tc>
                <w:tcPr>
                  <w:tcW w:w="555"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2020</w:t>
                  </w:r>
                </w:p>
              </w:tc>
              <w:tc>
                <w:tcPr>
                  <w:tcW w:w="555"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2025</w:t>
                  </w:r>
                </w:p>
              </w:tc>
              <w:tc>
                <w:tcPr>
                  <w:tcW w:w="555" w:type="pct"/>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2030</w:t>
                  </w:r>
                </w:p>
              </w:tc>
            </w:tr>
            <w:tr w:rsidR="003362E9" w:rsidRPr="003362E9" w:rsidTr="001F0D96">
              <w:tc>
                <w:tcPr>
                  <w:tcW w:w="2226" w:type="pct"/>
                </w:tcPr>
                <w:p w:rsidR="003362E9" w:rsidRPr="003362E9" w:rsidRDefault="003362E9" w:rsidP="003362E9">
                  <w:pPr>
                    <w:pStyle w:val="ConsPlusNormal"/>
                    <w:spacing w:before="60" w:after="60"/>
                    <w:rPr>
                      <w:rFonts w:ascii="Times New Roman" w:hAnsi="Times New Roman" w:cs="Times New Roman"/>
                      <w:sz w:val="16"/>
                      <w:szCs w:val="16"/>
                    </w:rPr>
                  </w:pPr>
                  <w:r w:rsidRPr="003362E9">
                    <w:rPr>
                      <w:rFonts w:ascii="Times New Roman" w:hAnsi="Times New Roman" w:cs="Times New Roman"/>
                      <w:sz w:val="16"/>
                      <w:szCs w:val="16"/>
                    </w:rPr>
                    <w:t>Объем перерабатываемой нефти, млн тонн в том числе</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16,048</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16,909</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19,779</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19,747</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23,623</w:t>
                  </w:r>
                </w:p>
              </w:tc>
            </w:tr>
            <w:tr w:rsidR="003362E9" w:rsidRPr="003362E9" w:rsidTr="001F0D96">
              <w:tc>
                <w:tcPr>
                  <w:tcW w:w="2226" w:type="pct"/>
                </w:tcPr>
                <w:p w:rsidR="003362E9" w:rsidRPr="003362E9" w:rsidRDefault="003362E9" w:rsidP="003362E9">
                  <w:pPr>
                    <w:pStyle w:val="ConsPlusNormal"/>
                    <w:spacing w:before="60" w:after="60"/>
                    <w:ind w:firstLine="283"/>
                    <w:jc w:val="both"/>
                    <w:rPr>
                      <w:rFonts w:ascii="Times New Roman" w:hAnsi="Times New Roman" w:cs="Times New Roman"/>
                      <w:sz w:val="16"/>
                      <w:szCs w:val="16"/>
                    </w:rPr>
                  </w:pPr>
                  <w:r w:rsidRPr="003362E9">
                    <w:rPr>
                      <w:rFonts w:ascii="Times New Roman" w:hAnsi="Times New Roman" w:cs="Times New Roman"/>
                      <w:sz w:val="16"/>
                      <w:szCs w:val="16"/>
                    </w:rPr>
                    <w:t>АО «ТАИФ-НК»</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8,2</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8,3</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8,3</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8,3</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8,3</w:t>
                  </w:r>
                </w:p>
              </w:tc>
            </w:tr>
            <w:tr w:rsidR="003362E9" w:rsidRPr="003362E9" w:rsidTr="001F0D96">
              <w:tc>
                <w:tcPr>
                  <w:tcW w:w="2226" w:type="pct"/>
                </w:tcPr>
                <w:p w:rsidR="003362E9" w:rsidRPr="003362E9" w:rsidRDefault="003362E9" w:rsidP="003362E9">
                  <w:pPr>
                    <w:pStyle w:val="ConsPlusNormal"/>
                    <w:spacing w:before="60" w:after="60"/>
                    <w:ind w:firstLine="283"/>
                    <w:jc w:val="both"/>
                    <w:rPr>
                      <w:rFonts w:ascii="Times New Roman" w:hAnsi="Times New Roman" w:cs="Times New Roman"/>
                      <w:sz w:val="16"/>
                      <w:szCs w:val="16"/>
                    </w:rPr>
                  </w:pPr>
                  <w:r w:rsidRPr="003362E9">
                    <w:rPr>
                      <w:rFonts w:ascii="Times New Roman" w:hAnsi="Times New Roman" w:cs="Times New Roman"/>
                      <w:sz w:val="16"/>
                      <w:szCs w:val="16"/>
                    </w:rPr>
                    <w:t>Комплекс «ТАНЕКО»</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7,848</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8,609</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11,479</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11,447</w:t>
                  </w:r>
                </w:p>
              </w:tc>
              <w:tc>
                <w:tcPr>
                  <w:tcW w:w="555" w:type="pct"/>
                  <w:vAlign w:val="center"/>
                </w:tcPr>
                <w:p w:rsidR="003362E9" w:rsidRPr="003362E9" w:rsidRDefault="003362E9" w:rsidP="003362E9">
                  <w:pPr>
                    <w:pStyle w:val="ConsPlusNormal"/>
                    <w:spacing w:before="60" w:after="60"/>
                    <w:jc w:val="center"/>
                    <w:rPr>
                      <w:rFonts w:ascii="Times New Roman" w:hAnsi="Times New Roman" w:cs="Times New Roman"/>
                      <w:sz w:val="16"/>
                      <w:szCs w:val="16"/>
                    </w:rPr>
                  </w:pPr>
                  <w:r w:rsidRPr="003362E9">
                    <w:rPr>
                      <w:rFonts w:ascii="Times New Roman" w:hAnsi="Times New Roman" w:cs="Times New Roman"/>
                      <w:sz w:val="16"/>
                      <w:szCs w:val="16"/>
                    </w:rPr>
                    <w:t>15,323</w:t>
                  </w:r>
                </w:p>
              </w:tc>
            </w:tr>
          </w:tbl>
          <w:p w:rsidR="003A5248" w:rsidRPr="00D423B2" w:rsidRDefault="003A5248" w:rsidP="00B872E0">
            <w:pPr>
              <w:autoSpaceDE w:val="0"/>
              <w:autoSpaceDN w:val="0"/>
              <w:adjustRightInd w:val="0"/>
              <w:jc w:val="both"/>
              <w:rPr>
                <w:rFonts w:ascii="Times New Roman" w:eastAsia="Times New Roman" w:hAnsi="Times New Roman" w:cs="Times New Roman"/>
                <w:sz w:val="28"/>
                <w:szCs w:val="28"/>
                <w:lang w:eastAsia="ru-RU"/>
              </w:rPr>
            </w:pPr>
          </w:p>
          <w:p w:rsidR="00AC7DED" w:rsidRDefault="00AC7DED" w:rsidP="00AC7DED">
            <w:pPr>
              <w:autoSpaceDE w:val="0"/>
              <w:autoSpaceDN w:val="0"/>
              <w:adjustRightInd w:val="0"/>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AC7DED">
              <w:rPr>
                <w:rFonts w:ascii="Times New Roman" w:eastAsia="Times New Roman" w:hAnsi="Times New Roman" w:cs="Times New Roman"/>
                <w:sz w:val="24"/>
                <w:szCs w:val="24"/>
                <w:lang w:eastAsia="ru-RU"/>
              </w:rPr>
              <w:t xml:space="preserve">Объемы выпускаемой основной товарной продукции предприятиями нефтеперерабатывающей промышленности Республики Татарстан в перспективе </w:t>
            </w:r>
            <w:r w:rsidRPr="00AC7DED">
              <w:rPr>
                <w:rFonts w:ascii="Times New Roman" w:eastAsia="Times New Roman" w:hAnsi="Times New Roman" w:cs="Times New Roman"/>
                <w:sz w:val="24"/>
                <w:szCs w:val="24"/>
                <w:lang w:eastAsia="ru-RU"/>
              </w:rPr>
              <w:br/>
              <w:t>до 2030 года приведены в таблице 13.</w:t>
            </w:r>
          </w:p>
          <w:p w:rsidR="00AC7DED" w:rsidRDefault="00AC7DED" w:rsidP="00015DBE">
            <w:pPr>
              <w:autoSpaceDE w:val="0"/>
              <w:autoSpaceDN w:val="0"/>
              <w:adjustRightInd w:val="0"/>
              <w:jc w:val="right"/>
              <w:outlineLvl w:val="3"/>
              <w:rPr>
                <w:rFonts w:ascii="Times New Roman" w:eastAsia="Times New Roman" w:hAnsi="Times New Roman" w:cs="Times New Roman"/>
                <w:sz w:val="24"/>
                <w:szCs w:val="24"/>
                <w:lang w:eastAsia="ru-RU"/>
              </w:rPr>
            </w:pPr>
          </w:p>
          <w:p w:rsidR="00015DBE" w:rsidRPr="00D423B2" w:rsidRDefault="00015DBE" w:rsidP="00015DBE">
            <w:pPr>
              <w:autoSpaceDE w:val="0"/>
              <w:autoSpaceDN w:val="0"/>
              <w:adjustRightInd w:val="0"/>
              <w:jc w:val="right"/>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Таблица № 13</w:t>
            </w:r>
          </w:p>
          <w:p w:rsidR="00015DBE" w:rsidRPr="00D423B2" w:rsidRDefault="00015DBE" w:rsidP="00015DBE">
            <w:pPr>
              <w:autoSpaceDE w:val="0"/>
              <w:autoSpaceDN w:val="0"/>
              <w:adjustRightInd w:val="0"/>
              <w:jc w:val="both"/>
              <w:rPr>
                <w:rFonts w:ascii="Times New Roman" w:eastAsia="Times New Roman" w:hAnsi="Times New Roman" w:cs="Times New Roman"/>
                <w:sz w:val="24"/>
                <w:szCs w:val="24"/>
                <w:lang w:eastAsia="ru-RU"/>
              </w:rPr>
            </w:pPr>
          </w:p>
          <w:p w:rsidR="00484FDB" w:rsidRPr="00484FDB" w:rsidRDefault="00484FDB" w:rsidP="00484FDB">
            <w:pPr>
              <w:autoSpaceDE w:val="0"/>
              <w:autoSpaceDN w:val="0"/>
              <w:adjustRightInd w:val="0"/>
              <w:jc w:val="center"/>
              <w:rPr>
                <w:rFonts w:ascii="Times New Roman" w:eastAsia="Times New Roman" w:hAnsi="Times New Roman" w:cs="Times New Roman"/>
                <w:sz w:val="24"/>
                <w:szCs w:val="24"/>
                <w:lang w:eastAsia="ru-RU"/>
              </w:rPr>
            </w:pPr>
            <w:r w:rsidRPr="00484FDB">
              <w:rPr>
                <w:rFonts w:ascii="Times New Roman" w:eastAsia="Times New Roman" w:hAnsi="Times New Roman" w:cs="Times New Roman"/>
                <w:sz w:val="24"/>
                <w:szCs w:val="24"/>
                <w:lang w:eastAsia="ru-RU"/>
              </w:rPr>
              <w:t>Производство основной товарной продукции</w:t>
            </w:r>
          </w:p>
          <w:p w:rsidR="00484FDB" w:rsidRPr="00484FDB" w:rsidRDefault="00484FDB" w:rsidP="00484FDB">
            <w:pPr>
              <w:autoSpaceDE w:val="0"/>
              <w:autoSpaceDN w:val="0"/>
              <w:adjustRightInd w:val="0"/>
              <w:jc w:val="center"/>
              <w:rPr>
                <w:rFonts w:ascii="Times New Roman" w:eastAsia="Times New Roman" w:hAnsi="Times New Roman" w:cs="Times New Roman"/>
                <w:sz w:val="24"/>
                <w:szCs w:val="24"/>
                <w:lang w:eastAsia="ru-RU"/>
              </w:rPr>
            </w:pPr>
            <w:r w:rsidRPr="00484FDB">
              <w:rPr>
                <w:rFonts w:ascii="Times New Roman" w:eastAsia="Times New Roman" w:hAnsi="Times New Roman" w:cs="Times New Roman"/>
                <w:sz w:val="24"/>
                <w:szCs w:val="24"/>
                <w:lang w:eastAsia="ru-RU"/>
              </w:rPr>
              <w:t>в нефтеперерабатывающей промышленности Республики Татарстан</w:t>
            </w:r>
            <w:r>
              <w:rPr>
                <w:rFonts w:ascii="Times New Roman" w:eastAsia="Times New Roman" w:hAnsi="Times New Roman" w:cs="Times New Roman"/>
                <w:sz w:val="24"/>
                <w:szCs w:val="24"/>
                <w:lang w:eastAsia="ru-RU"/>
              </w:rPr>
              <w:t xml:space="preserve"> </w:t>
            </w:r>
            <w:r w:rsidRPr="00484FDB">
              <w:rPr>
                <w:rFonts w:ascii="Times New Roman" w:eastAsia="Times New Roman" w:hAnsi="Times New Roman" w:cs="Times New Roman"/>
                <w:sz w:val="24"/>
                <w:szCs w:val="24"/>
                <w:lang w:eastAsia="ru-RU"/>
              </w:rPr>
              <w:t>(по прогнозным данным предприятий отрасли)</w:t>
            </w:r>
          </w:p>
          <w:p w:rsidR="005B6025" w:rsidRDefault="005B6025" w:rsidP="005B6025">
            <w:pPr>
              <w:autoSpaceDE w:val="0"/>
              <w:autoSpaceDN w:val="0"/>
              <w:adjustRightInd w:val="0"/>
              <w:jc w:val="center"/>
              <w:rPr>
                <w:rFonts w:ascii="Times New Roman" w:eastAsia="Times New Roman" w:hAnsi="Times New Roman" w:cs="Times New Roman"/>
                <w:sz w:val="24"/>
                <w:szCs w:val="24"/>
                <w:lang w:eastAsia="ru-RU"/>
              </w:rPr>
            </w:pPr>
          </w:p>
          <w:tbl>
            <w:tblPr>
              <w:tblW w:w="4810" w:type="dxa"/>
              <w:tblInd w:w="108" w:type="dxa"/>
              <w:tblLayout w:type="fixed"/>
              <w:tblLook w:val="04A0" w:firstRow="1" w:lastRow="0" w:firstColumn="1" w:lastColumn="0" w:noHBand="0" w:noVBand="1"/>
            </w:tblPr>
            <w:tblGrid>
              <w:gridCol w:w="1793"/>
              <w:gridCol w:w="505"/>
              <w:gridCol w:w="540"/>
              <w:gridCol w:w="621"/>
              <w:gridCol w:w="608"/>
              <w:gridCol w:w="743"/>
            </w:tblGrid>
            <w:tr w:rsidR="000D3B27" w:rsidRPr="000D3B27" w:rsidTr="001F0D96">
              <w:trPr>
                <w:trHeight w:val="780"/>
              </w:trPr>
              <w:tc>
                <w:tcPr>
                  <w:tcW w:w="17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Наименование товарной продукции/годы</w:t>
                  </w:r>
                </w:p>
              </w:tc>
              <w:tc>
                <w:tcPr>
                  <w:tcW w:w="505" w:type="dxa"/>
                  <w:tcBorders>
                    <w:top w:val="single" w:sz="4" w:space="0" w:color="auto"/>
                    <w:left w:val="nil"/>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2017</w:t>
                  </w:r>
                </w:p>
              </w:tc>
              <w:tc>
                <w:tcPr>
                  <w:tcW w:w="540" w:type="dxa"/>
                  <w:tcBorders>
                    <w:top w:val="single" w:sz="4" w:space="0" w:color="auto"/>
                    <w:left w:val="nil"/>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2018</w:t>
                  </w:r>
                </w:p>
              </w:tc>
              <w:tc>
                <w:tcPr>
                  <w:tcW w:w="621" w:type="dxa"/>
                  <w:tcBorders>
                    <w:top w:val="single" w:sz="4" w:space="0" w:color="auto"/>
                    <w:left w:val="nil"/>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2020</w:t>
                  </w:r>
                </w:p>
              </w:tc>
              <w:tc>
                <w:tcPr>
                  <w:tcW w:w="608" w:type="dxa"/>
                  <w:tcBorders>
                    <w:top w:val="single" w:sz="4" w:space="0" w:color="auto"/>
                    <w:left w:val="nil"/>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2025</w:t>
                  </w:r>
                </w:p>
              </w:tc>
              <w:tc>
                <w:tcPr>
                  <w:tcW w:w="743" w:type="dxa"/>
                  <w:tcBorders>
                    <w:top w:val="single" w:sz="4" w:space="0" w:color="auto"/>
                    <w:left w:val="nil"/>
                    <w:bottom w:val="single" w:sz="4" w:space="0" w:color="auto"/>
                    <w:right w:val="single" w:sz="4" w:space="0" w:color="auto"/>
                  </w:tcBorders>
                  <w:shd w:val="clear" w:color="auto" w:fill="auto"/>
                  <w:vAlign w:val="center"/>
                  <w:hideMark/>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2030</w:t>
                  </w:r>
                </w:p>
              </w:tc>
            </w:tr>
            <w:tr w:rsidR="000D3B27" w:rsidRPr="000D3B27" w:rsidTr="001F0D96">
              <w:trPr>
                <w:trHeight w:val="78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Прямогонный бензин/ БГС/Нафта,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3 140,78</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3 271,87</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3 218,85</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3 664,97</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4 819,07</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1 533,98</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1 750,17</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1 969,15</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2 180,47</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2 180,47</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1 606,80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1 521,70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1 249,70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1 484,50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2 638,60</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Автобензины,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479,09</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630,50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2 317,65</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2 320,01</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2 414,11</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479,09</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551,70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655,65</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678,41</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678,41</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78,80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1 662,00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1 641,60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1 735,70</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Дизельное топливо,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3 639,76</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4 896,25</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6 996,41</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9 997,46</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11 668,66</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2 230,16</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2 612,55</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3 726,51</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4 226,56</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4 226,56</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1 409,60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2 283,70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3 269,90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5 770,90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7 442,10</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Керосин/авиакеросин,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640,94</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960,09</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1 384,82</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1 382,61</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1 585,61</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396,24</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394,29</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476,02</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476,11</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476,11</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244,70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565,80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908,80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906,50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1 109,50</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Мазут,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1 995,00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2 068,75</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147,91</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0,00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0,00</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1 995,00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2 068,75</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147,91</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0,00</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Сера, тыс. тонн</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118,36</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163,96</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262,36</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298,37</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b/>
                      <w:bCs/>
                      <w:color w:val="000000"/>
                      <w:sz w:val="16"/>
                      <w:szCs w:val="16"/>
                    </w:rPr>
                  </w:pPr>
                  <w:r w:rsidRPr="000D3B27">
                    <w:rPr>
                      <w:rFonts w:ascii="Times New Roman" w:hAnsi="Times New Roman" w:cs="Times New Roman"/>
                      <w:b/>
                      <w:bCs/>
                      <w:color w:val="000000"/>
                      <w:sz w:val="16"/>
                      <w:szCs w:val="16"/>
                    </w:rPr>
                    <w:t>350,97</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АО «ТАИФ-НК»</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36,66</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54,06</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94,56</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112,37</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112,37</w:t>
                  </w:r>
                </w:p>
              </w:tc>
            </w:tr>
            <w:tr w:rsidR="000D3B27" w:rsidRPr="000D3B27" w:rsidTr="001F0D96">
              <w:trPr>
                <w:trHeight w:val="390"/>
              </w:trPr>
              <w:tc>
                <w:tcPr>
                  <w:tcW w:w="1793" w:type="dxa"/>
                  <w:tcBorders>
                    <w:top w:val="nil"/>
                    <w:left w:val="single" w:sz="4" w:space="0" w:color="auto"/>
                    <w:bottom w:val="single" w:sz="4" w:space="0" w:color="auto"/>
                    <w:right w:val="single" w:sz="4" w:space="0" w:color="auto"/>
                  </w:tcBorders>
                  <w:shd w:val="clear" w:color="auto" w:fill="auto"/>
                  <w:vAlign w:val="center"/>
                  <w:hideMark/>
                </w:tcPr>
                <w:p w:rsidR="000D3B27" w:rsidRPr="000D3B27" w:rsidRDefault="000D3B27" w:rsidP="000D3B27">
                  <w:pPr>
                    <w:spacing w:before="40" w:after="40"/>
                    <w:ind w:left="318"/>
                    <w:jc w:val="both"/>
                    <w:rPr>
                      <w:rFonts w:ascii="Times New Roman" w:hAnsi="Times New Roman" w:cs="Times New Roman"/>
                      <w:color w:val="000000"/>
                      <w:sz w:val="16"/>
                      <w:szCs w:val="16"/>
                    </w:rPr>
                  </w:pPr>
                  <w:r w:rsidRPr="000D3B27">
                    <w:rPr>
                      <w:rFonts w:ascii="Times New Roman" w:hAnsi="Times New Roman" w:cs="Times New Roman"/>
                      <w:color w:val="000000"/>
                      <w:sz w:val="16"/>
                      <w:szCs w:val="16"/>
                    </w:rPr>
                    <w:t>Комплекс «ТАНЕКО»</w:t>
                  </w:r>
                </w:p>
              </w:tc>
              <w:tc>
                <w:tcPr>
                  <w:tcW w:w="505"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81,70</w:t>
                  </w:r>
                </w:p>
              </w:tc>
              <w:tc>
                <w:tcPr>
                  <w:tcW w:w="540"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109,90</w:t>
                  </w:r>
                </w:p>
              </w:tc>
              <w:tc>
                <w:tcPr>
                  <w:tcW w:w="621"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167,80</w:t>
                  </w:r>
                </w:p>
              </w:tc>
              <w:tc>
                <w:tcPr>
                  <w:tcW w:w="608"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186,00</w:t>
                  </w:r>
                </w:p>
              </w:tc>
              <w:tc>
                <w:tcPr>
                  <w:tcW w:w="743" w:type="dxa"/>
                  <w:tcBorders>
                    <w:top w:val="nil"/>
                    <w:left w:val="nil"/>
                    <w:bottom w:val="single" w:sz="4" w:space="0" w:color="auto"/>
                    <w:right w:val="single" w:sz="4" w:space="0" w:color="auto"/>
                  </w:tcBorders>
                  <w:shd w:val="clear" w:color="auto" w:fill="auto"/>
                  <w:vAlign w:val="center"/>
                </w:tcPr>
                <w:p w:rsidR="000D3B27" w:rsidRPr="000D3B27" w:rsidRDefault="000D3B27" w:rsidP="000D3B27">
                  <w:pPr>
                    <w:spacing w:before="40" w:after="40"/>
                    <w:jc w:val="center"/>
                    <w:rPr>
                      <w:rFonts w:ascii="Times New Roman" w:hAnsi="Times New Roman" w:cs="Times New Roman"/>
                      <w:color w:val="000000"/>
                      <w:sz w:val="16"/>
                      <w:szCs w:val="16"/>
                    </w:rPr>
                  </w:pPr>
                  <w:r w:rsidRPr="000D3B27">
                    <w:rPr>
                      <w:rFonts w:ascii="Times New Roman" w:hAnsi="Times New Roman" w:cs="Times New Roman"/>
                      <w:color w:val="000000"/>
                      <w:sz w:val="16"/>
                      <w:szCs w:val="16"/>
                    </w:rPr>
                    <w:t>238,60</w:t>
                  </w:r>
                </w:p>
              </w:tc>
            </w:tr>
          </w:tbl>
          <w:p w:rsidR="000D3B27" w:rsidRPr="00D423B2" w:rsidRDefault="000D3B27" w:rsidP="005B6025">
            <w:pPr>
              <w:autoSpaceDE w:val="0"/>
              <w:autoSpaceDN w:val="0"/>
              <w:adjustRightInd w:val="0"/>
              <w:jc w:val="center"/>
              <w:rPr>
                <w:rFonts w:ascii="Times New Roman" w:eastAsia="Times New Roman" w:hAnsi="Times New Roman" w:cs="Times New Roman"/>
                <w:sz w:val="24"/>
                <w:szCs w:val="24"/>
                <w:lang w:eastAsia="ru-RU"/>
              </w:rPr>
            </w:pPr>
          </w:p>
          <w:p w:rsidR="008475FD" w:rsidRPr="00D423B2" w:rsidRDefault="008475FD" w:rsidP="008475FD">
            <w:pPr>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3.7. Газовая отрасль</w:t>
            </w:r>
          </w:p>
          <w:p w:rsidR="008475FD" w:rsidRPr="00D423B2" w:rsidRDefault="008475FD" w:rsidP="008475FD">
            <w:pPr>
              <w:ind w:firstLine="708"/>
              <w:rPr>
                <w:rFonts w:ascii="Times New Roman" w:eastAsia="Times New Roman" w:hAnsi="Times New Roman" w:cs="Times New Roman"/>
                <w:sz w:val="24"/>
                <w:szCs w:val="24"/>
                <w:lang w:eastAsia="ru-RU"/>
              </w:rPr>
            </w:pPr>
          </w:p>
          <w:p w:rsidR="008475FD" w:rsidRPr="00D423B2" w:rsidRDefault="008475FD" w:rsidP="008475FD">
            <w:pPr>
              <w:ind w:firstLine="708"/>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3.7.1. Потребление природного газа в Республике Татарстан</w:t>
            </w:r>
          </w:p>
          <w:p w:rsidR="008475FD" w:rsidRPr="00D423B2" w:rsidRDefault="008475FD" w:rsidP="008475FD">
            <w:pPr>
              <w:ind w:firstLine="708"/>
              <w:rPr>
                <w:rFonts w:ascii="Times New Roman" w:eastAsia="Times New Roman" w:hAnsi="Times New Roman" w:cs="Times New Roman"/>
                <w:sz w:val="24"/>
                <w:szCs w:val="24"/>
                <w:lang w:eastAsia="ru-RU"/>
              </w:rPr>
            </w:pP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Республика Татарстан является одним из крупнейших потребителей природного газа в Поволжском регионе России. Природный газ в основном обеспечивает потребность Татарстана в первичных энергоресурсах. Многолетнее стабильное сотрудничество с ПАО «Газпром» по вопросам поставки природного газа потребителям Республики Татарстан позволяет обеспечить эффективное и динамичное социально-экономическое развитие республики.</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Основными предприятиями газовой отрасли республики являются АО «Газпром межрегионгаз Казань» – специализированная региональная организация по реализации газа, ООО «Газпром трансгаз Казань» – региональная газораспределительная организация, ООО «Газпром сжиженный газ» – специализированный оператор по реализации сжиженных углеводородных газов, филиал ООО «Газпром газомоторное топливо» в г.Казани – единый оператор по развитию рынка газомоторного топлива.</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Принимая во внимание значительные объемы потребления природного газа, постоянный рост цен на него, увеличение числа участников газового рынка, в Республике Татарстан придается большое значение проблемам эффективного использования природного газа.</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В рамках сформированной в Республике Татарстан законодательной базы в области энергосбережения и энергоресурсоэффективности накоплен большой опыт по обеспечению рационального и эффективного газопотребления.</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В республике на постоянной основе проводится работа по совершенствованию системы учета и контроля за поставками и потреблением природного газа. В целях создания условий для обеспечения высокой точности учета потребления природного газа в 2008 году было подписано Соглашение о сотрудничестве между ПАО «Газпром», Федеральным агентством по техническому регулированию и метрологии и Кабинетом Министров Республики Татарстан по совершенствованию эталонной и испытательной базы средств измерений расхода и количества природного газа, сжиженного природного газа и газового конденсата.</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Благодаря позитивной динамике социально-экономического развития Республики Татарстан возникла дополнительная потребность в природном газе как для обеспечения населения, жилищно-коммунального и социального комплексов, так и для реализации стратегических проектов в промышленности.</w:t>
            </w:r>
          </w:p>
          <w:p w:rsidR="006E025E" w:rsidRPr="006E025E" w:rsidRDefault="006E025E" w:rsidP="006E025E">
            <w:pPr>
              <w:ind w:firstLine="709"/>
              <w:jc w:val="both"/>
              <w:rPr>
                <w:rFonts w:ascii="Times New Roman" w:eastAsia="Times New Roman" w:hAnsi="Times New Roman" w:cs="Times New Roman"/>
                <w:sz w:val="24"/>
                <w:szCs w:val="24"/>
                <w:lang w:eastAsia="ru-RU"/>
              </w:rPr>
            </w:pPr>
            <w:r w:rsidRPr="006E025E">
              <w:rPr>
                <w:rFonts w:ascii="Times New Roman" w:eastAsia="Times New Roman" w:hAnsi="Times New Roman" w:cs="Times New Roman"/>
                <w:sz w:val="24"/>
                <w:szCs w:val="24"/>
                <w:lang w:eastAsia="ru-RU"/>
              </w:rPr>
              <w:t xml:space="preserve">По итогам 2018 года потребление республикой природного газа составило 18,083 млрд куб.м, по сравнению с 2000 годом (14,335 млрд куб.м) рост составил </w:t>
            </w:r>
            <w:r w:rsidRPr="006E025E">
              <w:rPr>
                <w:rFonts w:ascii="Times New Roman" w:eastAsia="Times New Roman" w:hAnsi="Times New Roman" w:cs="Times New Roman"/>
                <w:sz w:val="24"/>
                <w:szCs w:val="24"/>
                <w:lang w:eastAsia="ru-RU"/>
              </w:rPr>
              <w:br/>
              <w:t>26 процентов.</w:t>
            </w:r>
          </w:p>
          <w:p w:rsidR="00BC0F9D" w:rsidRPr="00D423B2" w:rsidRDefault="00BC0F9D" w:rsidP="008475FD">
            <w:pPr>
              <w:ind w:firstLine="709"/>
              <w:jc w:val="both"/>
              <w:rPr>
                <w:rFonts w:ascii="Times New Roman" w:eastAsia="Times New Roman" w:hAnsi="Times New Roman" w:cs="Times New Roman"/>
                <w:sz w:val="24"/>
                <w:szCs w:val="24"/>
                <w:lang w:eastAsia="ru-RU"/>
              </w:rPr>
            </w:pPr>
          </w:p>
          <w:p w:rsidR="00BC0F9D" w:rsidRPr="00D423B2" w:rsidRDefault="00BC0F9D" w:rsidP="008475FD">
            <w:pPr>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667A6789" wp14:editId="00E2D0BC">
                  <wp:extent cx="2542540" cy="1438910"/>
                  <wp:effectExtent l="0" t="0" r="0" b="889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42540" cy="1438910"/>
                          </a:xfrm>
                          <a:prstGeom prst="rect">
                            <a:avLst/>
                          </a:prstGeom>
                          <a:noFill/>
                        </pic:spPr>
                      </pic:pic>
                    </a:graphicData>
                  </a:graphic>
                </wp:inline>
              </w:drawing>
            </w:r>
          </w:p>
          <w:p w:rsidR="00BC0F9D" w:rsidRPr="00D423B2" w:rsidRDefault="00BC0F9D" w:rsidP="00BC0F9D">
            <w:pPr>
              <w:jc w:val="center"/>
              <w:rPr>
                <w:rFonts w:ascii="Times New Roman" w:eastAsia="Times New Roman" w:hAnsi="Times New Roman" w:cs="Times New Roman"/>
                <w:b/>
                <w:sz w:val="24"/>
                <w:szCs w:val="28"/>
                <w:lang w:eastAsia="ru-RU"/>
              </w:rPr>
            </w:pPr>
          </w:p>
          <w:p w:rsidR="00540320" w:rsidRPr="00540320" w:rsidRDefault="00540320" w:rsidP="00540320">
            <w:pPr>
              <w:ind w:firstLine="709"/>
              <w:jc w:val="center"/>
              <w:rPr>
                <w:rFonts w:ascii="Times New Roman" w:eastAsia="Times New Roman" w:hAnsi="Times New Roman" w:cs="Times New Roman"/>
                <w:sz w:val="16"/>
                <w:szCs w:val="16"/>
                <w:lang w:eastAsia="ru-RU"/>
              </w:rPr>
            </w:pPr>
            <w:r w:rsidRPr="00540320">
              <w:rPr>
                <w:rFonts w:ascii="Times New Roman" w:eastAsia="Times New Roman" w:hAnsi="Times New Roman" w:cs="Times New Roman"/>
                <w:sz w:val="16"/>
                <w:szCs w:val="16"/>
                <w:lang w:eastAsia="ru-RU"/>
              </w:rPr>
              <w:t>Рис. 13. Динамика и прогноз потребления природного газа в Республике Татарстан</w:t>
            </w:r>
          </w:p>
          <w:p w:rsidR="008475FD" w:rsidRPr="00D423B2" w:rsidRDefault="008475FD" w:rsidP="008475FD">
            <w:pPr>
              <w:ind w:firstLine="708"/>
              <w:rPr>
                <w:rFonts w:ascii="Times New Roman" w:eastAsia="Times New Roman" w:hAnsi="Times New Roman" w:cs="Times New Roman"/>
                <w:sz w:val="24"/>
                <w:szCs w:val="24"/>
                <w:lang w:eastAsia="ru-RU"/>
              </w:rPr>
            </w:pPr>
          </w:p>
          <w:p w:rsidR="00173DE8" w:rsidRPr="00D423B2" w:rsidRDefault="00173DE8" w:rsidP="00173DE8">
            <w:pPr>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3.7.1.1. Потребление природного газа в энергетической отрасли и жилищно-коммунальном хозяйстве Республики Татарстан</w:t>
            </w:r>
          </w:p>
          <w:p w:rsidR="00173DE8" w:rsidRPr="00D423B2" w:rsidRDefault="00173DE8" w:rsidP="00173DE8">
            <w:pPr>
              <w:ind w:firstLine="709"/>
              <w:jc w:val="both"/>
              <w:rPr>
                <w:rFonts w:ascii="Times New Roman" w:eastAsia="Times New Roman" w:hAnsi="Times New Roman" w:cs="Times New Roman"/>
                <w:sz w:val="24"/>
                <w:szCs w:val="24"/>
                <w:lang w:eastAsia="ru-RU"/>
              </w:rPr>
            </w:pPr>
          </w:p>
          <w:p w:rsidR="00540320" w:rsidRPr="00540320" w:rsidRDefault="00540320" w:rsidP="00540320">
            <w:pPr>
              <w:ind w:firstLine="709"/>
              <w:jc w:val="both"/>
              <w:rPr>
                <w:rFonts w:ascii="Times New Roman" w:eastAsia="Times New Roman" w:hAnsi="Times New Roman" w:cs="Times New Roman"/>
                <w:sz w:val="24"/>
                <w:szCs w:val="24"/>
                <w:lang w:eastAsia="ru-RU"/>
              </w:rPr>
            </w:pPr>
            <w:r w:rsidRPr="00540320">
              <w:rPr>
                <w:rFonts w:ascii="Times New Roman" w:eastAsia="Times New Roman" w:hAnsi="Times New Roman" w:cs="Times New Roman"/>
                <w:sz w:val="24"/>
                <w:szCs w:val="24"/>
                <w:lang w:eastAsia="ru-RU"/>
              </w:rPr>
              <w:t>Одна из динамично развивающихся отраслей Республики Татарстан – энергетическая отрасль. От ее работы напрямую зависят конкурентоспособность и рентабельность предприятий, общий уровень социально-экономического развития региона и благосостояние населения.</w:t>
            </w:r>
          </w:p>
          <w:p w:rsidR="00540320" w:rsidRPr="00540320" w:rsidRDefault="00540320" w:rsidP="00540320">
            <w:pPr>
              <w:ind w:firstLine="709"/>
              <w:jc w:val="both"/>
              <w:rPr>
                <w:rFonts w:ascii="Times New Roman" w:eastAsia="Times New Roman" w:hAnsi="Times New Roman" w:cs="Times New Roman"/>
                <w:sz w:val="24"/>
                <w:szCs w:val="24"/>
                <w:lang w:eastAsia="ru-RU"/>
              </w:rPr>
            </w:pPr>
            <w:r w:rsidRPr="00540320">
              <w:rPr>
                <w:rFonts w:ascii="Times New Roman" w:eastAsia="Times New Roman" w:hAnsi="Times New Roman" w:cs="Times New Roman"/>
                <w:sz w:val="24"/>
                <w:szCs w:val="24"/>
                <w:lang w:eastAsia="ru-RU"/>
              </w:rPr>
              <w:t>Основными потребителями газа в сфере энергетики в Республике Татарстан являются АО «Татэнерго», АО «ТГК-16», ООО «Нижнекамская ТЭЦ».</w:t>
            </w:r>
          </w:p>
          <w:p w:rsidR="00A25501" w:rsidRDefault="00A25501" w:rsidP="00173DE8">
            <w:pPr>
              <w:ind w:firstLine="709"/>
              <w:jc w:val="both"/>
              <w:rPr>
                <w:rFonts w:ascii="Times New Roman" w:eastAsia="Times New Roman" w:hAnsi="Times New Roman" w:cs="Times New Roman"/>
                <w:sz w:val="24"/>
                <w:szCs w:val="24"/>
                <w:lang w:eastAsia="ru-RU"/>
              </w:rPr>
            </w:pPr>
          </w:p>
          <w:p w:rsidR="00A25501" w:rsidRDefault="00A25501" w:rsidP="00173DE8">
            <w:pPr>
              <w:ind w:firstLine="709"/>
              <w:jc w:val="both"/>
              <w:rPr>
                <w:rFonts w:ascii="Times New Roman" w:eastAsia="Times New Roman" w:hAnsi="Times New Roman" w:cs="Times New Roman"/>
                <w:sz w:val="24"/>
                <w:szCs w:val="24"/>
                <w:lang w:eastAsia="ru-RU"/>
              </w:rPr>
            </w:pPr>
          </w:p>
          <w:p w:rsidR="00A25501" w:rsidRDefault="00A25501" w:rsidP="00173DE8">
            <w:pPr>
              <w:ind w:firstLine="709"/>
              <w:jc w:val="both"/>
              <w:rPr>
                <w:rFonts w:ascii="Times New Roman" w:eastAsia="Times New Roman" w:hAnsi="Times New Roman" w:cs="Times New Roman"/>
                <w:sz w:val="24"/>
                <w:szCs w:val="24"/>
                <w:lang w:eastAsia="ru-RU"/>
              </w:rPr>
            </w:pPr>
          </w:p>
          <w:p w:rsidR="00A25501" w:rsidRDefault="00A25501" w:rsidP="00173DE8">
            <w:pPr>
              <w:ind w:firstLine="709"/>
              <w:jc w:val="both"/>
              <w:rPr>
                <w:rFonts w:ascii="Times New Roman" w:eastAsia="Times New Roman" w:hAnsi="Times New Roman" w:cs="Times New Roman"/>
                <w:sz w:val="24"/>
                <w:szCs w:val="24"/>
                <w:lang w:eastAsia="ru-RU"/>
              </w:rPr>
            </w:pPr>
          </w:p>
          <w:p w:rsidR="00A25501" w:rsidRDefault="00A25501" w:rsidP="00173DE8">
            <w:pPr>
              <w:ind w:firstLine="709"/>
              <w:jc w:val="both"/>
              <w:rPr>
                <w:rFonts w:ascii="Times New Roman" w:eastAsia="Times New Roman" w:hAnsi="Times New Roman" w:cs="Times New Roman"/>
                <w:sz w:val="24"/>
                <w:szCs w:val="24"/>
                <w:lang w:eastAsia="ru-RU"/>
              </w:rPr>
            </w:pPr>
          </w:p>
          <w:p w:rsidR="00FB772E" w:rsidRPr="00D423B2" w:rsidRDefault="009F16BA" w:rsidP="00173DE8">
            <w:pPr>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anchor distT="0" distB="0" distL="114300" distR="114300" simplePos="0" relativeHeight="251660288" behindDoc="0" locked="0" layoutInCell="1" allowOverlap="1" wp14:anchorId="186E673C" wp14:editId="5E7B1F58">
                  <wp:simplePos x="0" y="0"/>
                  <wp:positionH relativeFrom="column">
                    <wp:posOffset>465455</wp:posOffset>
                  </wp:positionH>
                  <wp:positionV relativeFrom="paragraph">
                    <wp:posOffset>150495</wp:posOffset>
                  </wp:positionV>
                  <wp:extent cx="591185" cy="231775"/>
                  <wp:effectExtent l="0" t="0" r="0" b="0"/>
                  <wp:wrapNone/>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185" cy="231775"/>
                          </a:xfrm>
                          <a:prstGeom prst="rect">
                            <a:avLst/>
                          </a:prstGeom>
                          <a:noFill/>
                        </pic:spPr>
                      </pic:pic>
                    </a:graphicData>
                  </a:graphic>
                </wp:anchor>
              </w:drawing>
            </w:r>
          </w:p>
          <w:p w:rsidR="003A2879" w:rsidRPr="00D423B2" w:rsidRDefault="00FB772E" w:rsidP="00FB772E">
            <w:pPr>
              <w:ind w:firstLine="709"/>
              <w:jc w:val="center"/>
              <w:rPr>
                <w:rFonts w:ascii="Times New Roman" w:eastAsia="Times New Roman" w:hAnsi="Times New Roman" w:cs="Times New Roman"/>
                <w:sz w:val="24"/>
                <w:szCs w:val="24"/>
                <w:lang w:eastAsia="ru-RU"/>
              </w:rPr>
            </w:pPr>
            <w:r w:rsidRPr="00D423B2">
              <w:rPr>
                <w:rFonts w:ascii="Times New Roman" w:hAnsi="Times New Roman" w:cs="Times New Roman"/>
                <w:noProof/>
                <w:sz w:val="24"/>
                <w:szCs w:val="24"/>
                <w:lang w:eastAsia="ru-RU"/>
              </w:rPr>
              <w:drawing>
                <wp:inline distT="0" distB="0" distL="0" distR="0" wp14:anchorId="346E614D" wp14:editId="09979F8B">
                  <wp:extent cx="2686398" cy="115252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05979" cy="1160925"/>
                          </a:xfrm>
                          <a:prstGeom prst="rect">
                            <a:avLst/>
                          </a:prstGeom>
                          <a:noFill/>
                        </pic:spPr>
                      </pic:pic>
                    </a:graphicData>
                  </a:graphic>
                </wp:inline>
              </w:drawing>
            </w:r>
          </w:p>
          <w:p w:rsidR="00FB772E" w:rsidRPr="00D423B2" w:rsidRDefault="00FB772E" w:rsidP="00FB772E">
            <w:pPr>
              <w:ind w:left="709"/>
              <w:jc w:val="center"/>
              <w:rPr>
                <w:rFonts w:ascii="Times New Roman" w:eastAsia="Times New Roman" w:hAnsi="Times New Roman" w:cs="Times New Roman"/>
                <w:sz w:val="16"/>
                <w:szCs w:val="16"/>
                <w:lang w:eastAsia="ru-RU"/>
              </w:rPr>
            </w:pPr>
          </w:p>
          <w:p w:rsidR="003C0162" w:rsidRDefault="003C0162" w:rsidP="003C0162">
            <w:pPr>
              <w:ind w:left="709"/>
              <w:jc w:val="center"/>
              <w:rPr>
                <w:rFonts w:ascii="Times New Roman" w:eastAsia="Times New Roman" w:hAnsi="Times New Roman" w:cs="Times New Roman"/>
                <w:sz w:val="16"/>
                <w:szCs w:val="16"/>
                <w:lang w:eastAsia="ru-RU"/>
              </w:rPr>
            </w:pPr>
          </w:p>
          <w:p w:rsidR="003C0162" w:rsidRPr="003C0162" w:rsidRDefault="003C0162" w:rsidP="003C0162">
            <w:pPr>
              <w:ind w:left="709"/>
              <w:jc w:val="center"/>
              <w:rPr>
                <w:rFonts w:ascii="Times New Roman" w:eastAsia="Times New Roman" w:hAnsi="Times New Roman" w:cs="Times New Roman"/>
                <w:i/>
                <w:sz w:val="16"/>
                <w:szCs w:val="16"/>
                <w:lang w:eastAsia="ru-RU"/>
              </w:rPr>
            </w:pPr>
            <w:r w:rsidRPr="003C0162">
              <w:rPr>
                <w:rFonts w:ascii="Times New Roman" w:eastAsia="Times New Roman" w:hAnsi="Times New Roman" w:cs="Times New Roman"/>
                <w:sz w:val="16"/>
                <w:szCs w:val="16"/>
                <w:lang w:eastAsia="ru-RU"/>
              </w:rPr>
              <w:t>Рис. 14. Динамика и прогноз потребления природного газа в энергетической отрасли и жилищно-коммунальном хозяйстве Республики Татарстан</w:t>
            </w:r>
          </w:p>
          <w:p w:rsidR="003C0162" w:rsidRDefault="003C0162" w:rsidP="005B4B85">
            <w:pPr>
              <w:autoSpaceDE w:val="0"/>
              <w:autoSpaceDN w:val="0"/>
              <w:adjustRightInd w:val="0"/>
              <w:ind w:firstLine="709"/>
              <w:jc w:val="both"/>
              <w:rPr>
                <w:rFonts w:ascii="TimesNewRomanPSMT" w:eastAsia="Calibri" w:hAnsi="TimesNewRomanPSMT" w:cs="TimesNewRomanPSMT"/>
                <w:sz w:val="24"/>
                <w:szCs w:val="24"/>
                <w:lang w:eastAsia="ru-RU"/>
              </w:rPr>
            </w:pP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 xml:space="preserve">Основной объем потребления газа приходится на энергетику и жилищно-коммунальное хозяйство – 58,3 процента внутриреспубликанского потребления по итогам 2018 года. По данным АО «Газпром межрегионгаз Казань», в 2018 году общий объем потребления в сфере энергетики и жилищно-коммунальном хозяйстве Республики Татарстан составил 10 540,4 млн куб. метров, в том числе в жилищно-коммунальном хозяйстве 820,9 млн куб. метров. За период с 2017 по 2018 год объемы потребления в энергетике и жилищно-коммунальном хозяйстве выросли на 15,5 процента. </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Крупными предприятиями энергетической отрасли Республики Татарстан до 2030 года запланирован к реализации ряд проектов, которые в свою очередь потребуют дополнительного обеспечения природным газом.</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 xml:space="preserve">1) АО «Татэнерго» планирует следующие проекты: </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модернизация Заинской ГРЭС путем перевода паросилового цикла на парогазовый, мощностью 1 600-1 800 МВт (требуется утверждение Правительственной комиссией в рамках постановления Правительства Российской Федерации от 25 января 2019 года № 43 «О проведении отборов проектов модернизации генерирующих объектов тепловых электростанций»);</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замещение паросиловых мощностей Набережночелнинской ТЭЦ на энергоустановки с использованием ПГУ, мощностью 230 МВт. Ввод в эксплуатацию планируется до 2030 года;</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создание резерва тепловой мощности в целях технологического подключения потребителей (проект «Седьмое небо»), мощностью 100 Гкал/ч. Реализация проекта запланирована в период с 2020 по 2026 годы.</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2) АО «ТГК-16» планирует следующие проекты:</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в 2022-2025 годах на Нижнекамской ТЭЦ ПТК-1 планируется строительство новой надстройки ГТУ SGT5 8000H (140+30ATA), мощностью 435 МВт.</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в 2023-2025 годах на Нижнекамской ТЭЦ ПТК-1 планируется модернизация турбоагрегата ст. № 3 (ТГ-3), мощностью 102 МВт.</w:t>
            </w:r>
          </w:p>
          <w:p w:rsidR="007E4930" w:rsidRPr="007E4930" w:rsidRDefault="007E4930" w:rsidP="007E4930">
            <w:pPr>
              <w:autoSpaceDE w:val="0"/>
              <w:autoSpaceDN w:val="0"/>
              <w:adjustRightInd w:val="0"/>
              <w:ind w:firstLine="709"/>
              <w:jc w:val="both"/>
              <w:rPr>
                <w:rFonts w:ascii="TimesNewRomanPSMT" w:eastAsia="Calibri" w:hAnsi="TimesNewRomanPSMT" w:cs="TimesNewRomanPSMT"/>
                <w:sz w:val="24"/>
                <w:szCs w:val="24"/>
                <w:lang w:eastAsia="ru-RU"/>
              </w:rPr>
            </w:pPr>
            <w:r w:rsidRPr="007E4930">
              <w:rPr>
                <w:rFonts w:ascii="TimesNewRomanPSMT" w:eastAsia="Calibri" w:hAnsi="TimesNewRomanPSMT" w:cs="TimesNewRomanPSMT"/>
                <w:sz w:val="24"/>
                <w:szCs w:val="24"/>
                <w:lang w:eastAsia="ru-RU"/>
              </w:rPr>
              <w:t>В результате их реализации к 2030 году объем потребления газа в данных сферах (при умеренном росте потребления в жилищно-коммунальном хозяйстве) должен вырасти до 14 068,3 млн куб. метров, или на 33,5 процента).</w:t>
            </w:r>
          </w:p>
          <w:p w:rsidR="007E4930" w:rsidRPr="007E4930" w:rsidRDefault="007E4930" w:rsidP="007E4930">
            <w:pPr>
              <w:autoSpaceDE w:val="0"/>
              <w:autoSpaceDN w:val="0"/>
              <w:adjustRightInd w:val="0"/>
              <w:ind w:firstLine="709"/>
              <w:jc w:val="both"/>
              <w:rPr>
                <w:rFonts w:ascii="TimesNewRomanPSMT" w:eastAsia="Calibri" w:hAnsi="TimesNewRomanPSMT" w:cs="TimesNewRomanPSMT"/>
                <w:b/>
                <w:sz w:val="24"/>
                <w:szCs w:val="24"/>
                <w:lang w:eastAsia="ru-RU"/>
              </w:rPr>
            </w:pPr>
          </w:p>
          <w:p w:rsidR="00C701E1" w:rsidRPr="00D423B2" w:rsidRDefault="00C701E1" w:rsidP="00C701E1">
            <w:pPr>
              <w:ind w:firstLine="709"/>
              <w:jc w:val="both"/>
              <w:rPr>
                <w:rFonts w:ascii="Times New Roman" w:eastAsia="Times New Roman" w:hAnsi="Times New Roman" w:cs="Times New Roman"/>
                <w:sz w:val="24"/>
                <w:szCs w:val="24"/>
                <w:lang w:eastAsia="ru-RU"/>
              </w:rPr>
            </w:pPr>
          </w:p>
          <w:p w:rsidR="00C701E1" w:rsidRPr="00D423B2" w:rsidRDefault="00C701E1" w:rsidP="00C701E1">
            <w:pPr>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3.7.1.2. Потребление природного газа</w:t>
            </w:r>
            <w:r w:rsidRPr="00D423B2">
              <w:rPr>
                <w:rFonts w:ascii="Times New Roman" w:eastAsia="Times New Roman" w:hAnsi="Times New Roman" w:cs="Times New Roman"/>
                <w:i/>
                <w:sz w:val="24"/>
                <w:szCs w:val="24"/>
                <w:lang w:eastAsia="ru-RU"/>
              </w:rPr>
              <w:t xml:space="preserve"> </w:t>
            </w:r>
            <w:r w:rsidRPr="00D423B2">
              <w:rPr>
                <w:rFonts w:ascii="Times New Roman" w:eastAsia="Times New Roman" w:hAnsi="Times New Roman" w:cs="Times New Roman"/>
                <w:sz w:val="24"/>
                <w:szCs w:val="24"/>
                <w:lang w:eastAsia="ru-RU"/>
              </w:rPr>
              <w:t>населением и бюджетными организациями</w:t>
            </w:r>
          </w:p>
          <w:p w:rsidR="00C701E1" w:rsidRPr="00D423B2" w:rsidRDefault="00C701E1" w:rsidP="00C701E1">
            <w:pPr>
              <w:ind w:firstLine="709"/>
              <w:jc w:val="both"/>
              <w:rPr>
                <w:rFonts w:ascii="Times New Roman" w:eastAsia="Times New Roman" w:hAnsi="Times New Roman" w:cs="Times New Roman"/>
                <w:i/>
                <w:sz w:val="24"/>
                <w:szCs w:val="24"/>
                <w:lang w:eastAsia="ru-RU"/>
              </w:rPr>
            </w:pPr>
          </w:p>
          <w:p w:rsidR="00F806DC" w:rsidRPr="00F806DC" w:rsidRDefault="00F806DC" w:rsidP="00F806DC">
            <w:pPr>
              <w:ind w:firstLine="709"/>
              <w:jc w:val="both"/>
              <w:rPr>
                <w:rFonts w:ascii="Times New Roman" w:eastAsia="Times New Roman" w:hAnsi="Times New Roman" w:cs="Times New Roman"/>
                <w:sz w:val="24"/>
                <w:szCs w:val="24"/>
                <w:lang w:eastAsia="ru-RU"/>
              </w:rPr>
            </w:pPr>
            <w:r w:rsidRPr="00F806DC">
              <w:rPr>
                <w:rFonts w:ascii="Times New Roman" w:eastAsia="Times New Roman" w:hAnsi="Times New Roman" w:cs="Times New Roman"/>
                <w:sz w:val="24"/>
                <w:szCs w:val="24"/>
                <w:lang w:eastAsia="ru-RU"/>
              </w:rPr>
              <w:t xml:space="preserve">Объем потребления природного газа населением в 2018 году составил </w:t>
            </w:r>
            <w:r w:rsidRPr="00F806DC">
              <w:rPr>
                <w:rFonts w:ascii="Times New Roman" w:eastAsia="Times New Roman" w:hAnsi="Times New Roman" w:cs="Times New Roman"/>
                <w:sz w:val="24"/>
                <w:szCs w:val="24"/>
                <w:lang w:eastAsia="ru-RU"/>
              </w:rPr>
              <w:br/>
              <w:t xml:space="preserve">1 889,6 млн куб. метров (10,4 процента), что выше на 5 процентов по сравнению с 2017 годом. </w:t>
            </w:r>
          </w:p>
          <w:p w:rsidR="00F806DC" w:rsidRPr="00F806DC" w:rsidRDefault="00F806DC" w:rsidP="00F806DC">
            <w:pPr>
              <w:ind w:firstLine="709"/>
              <w:jc w:val="both"/>
              <w:rPr>
                <w:rFonts w:ascii="Times New Roman" w:eastAsia="Times New Roman" w:hAnsi="Times New Roman" w:cs="Times New Roman"/>
                <w:sz w:val="24"/>
                <w:szCs w:val="24"/>
                <w:lang w:eastAsia="ru-RU"/>
              </w:rPr>
            </w:pPr>
            <w:r w:rsidRPr="00F806DC">
              <w:rPr>
                <w:rFonts w:ascii="Times New Roman" w:eastAsia="Times New Roman" w:hAnsi="Times New Roman" w:cs="Times New Roman"/>
                <w:sz w:val="24"/>
                <w:szCs w:val="24"/>
                <w:lang w:eastAsia="ru-RU"/>
              </w:rPr>
              <w:t>Объем потребления природного газа бюджетными организациями за 2018 год составил 118 млн куб. метров (0,6 процента), или 102,6 процента к уровню</w:t>
            </w:r>
            <w:r w:rsidRPr="00F806DC">
              <w:rPr>
                <w:rFonts w:ascii="Times New Roman" w:eastAsia="Times New Roman" w:hAnsi="Times New Roman" w:cs="Times New Roman"/>
                <w:sz w:val="24"/>
                <w:szCs w:val="24"/>
                <w:lang w:eastAsia="ru-RU"/>
              </w:rPr>
              <w:br/>
              <w:t xml:space="preserve">2017 года. </w:t>
            </w:r>
          </w:p>
          <w:p w:rsidR="009D310E" w:rsidRPr="00D423B2" w:rsidRDefault="009D310E" w:rsidP="00C701E1">
            <w:pPr>
              <w:ind w:firstLine="709"/>
              <w:jc w:val="both"/>
              <w:rPr>
                <w:rFonts w:ascii="Times New Roman" w:eastAsia="Times New Roman" w:hAnsi="Times New Roman" w:cs="Times New Roman"/>
                <w:sz w:val="24"/>
                <w:szCs w:val="24"/>
                <w:lang w:eastAsia="ru-RU"/>
              </w:rPr>
            </w:pPr>
            <w:r w:rsidRPr="00D423B2">
              <w:rPr>
                <w:rFonts w:ascii="Times New Roman" w:hAnsi="Times New Roman" w:cs="Times New Roman"/>
                <w:noProof/>
                <w:sz w:val="24"/>
                <w:szCs w:val="24"/>
                <w:lang w:eastAsia="ru-RU"/>
              </w:rPr>
              <w:drawing>
                <wp:anchor distT="0" distB="0" distL="114300" distR="114300" simplePos="0" relativeHeight="251659264" behindDoc="0" locked="0" layoutInCell="1" allowOverlap="1" wp14:anchorId="18D03F70" wp14:editId="081E580C">
                  <wp:simplePos x="0" y="0"/>
                  <wp:positionH relativeFrom="column">
                    <wp:posOffset>264795</wp:posOffset>
                  </wp:positionH>
                  <wp:positionV relativeFrom="paragraph">
                    <wp:posOffset>161925</wp:posOffset>
                  </wp:positionV>
                  <wp:extent cx="486410" cy="231775"/>
                  <wp:effectExtent l="0" t="0" r="0" b="0"/>
                  <wp:wrapNone/>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6410" cy="231775"/>
                          </a:xfrm>
                          <a:prstGeom prst="rect">
                            <a:avLst/>
                          </a:prstGeom>
                          <a:noFill/>
                        </pic:spPr>
                      </pic:pic>
                    </a:graphicData>
                  </a:graphic>
                  <wp14:sizeRelH relativeFrom="margin">
                    <wp14:pctWidth>0</wp14:pctWidth>
                  </wp14:sizeRelH>
                </wp:anchor>
              </w:drawing>
            </w:r>
          </w:p>
          <w:p w:rsidR="005B4B85" w:rsidRPr="00D423B2" w:rsidRDefault="00EB0055" w:rsidP="003A2879">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0F248C38" wp14:editId="0823FB3E">
                  <wp:extent cx="2651760" cy="1152525"/>
                  <wp:effectExtent l="0" t="0" r="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51760" cy="1152525"/>
                          </a:xfrm>
                          <a:prstGeom prst="rect">
                            <a:avLst/>
                          </a:prstGeom>
                          <a:noFill/>
                        </pic:spPr>
                      </pic:pic>
                    </a:graphicData>
                  </a:graphic>
                </wp:inline>
              </w:drawing>
            </w:r>
          </w:p>
          <w:p w:rsidR="00974502" w:rsidRPr="00D423B2" w:rsidRDefault="00974502" w:rsidP="003A2879">
            <w:pPr>
              <w:jc w:val="center"/>
              <w:rPr>
                <w:rFonts w:ascii="Times New Roman" w:hAnsi="Times New Roman" w:cs="Times New Roman"/>
                <w:sz w:val="24"/>
                <w:szCs w:val="24"/>
              </w:rPr>
            </w:pPr>
          </w:p>
          <w:p w:rsidR="00E34525" w:rsidRPr="00E34525" w:rsidRDefault="00E34525" w:rsidP="00E34525">
            <w:pPr>
              <w:ind w:left="709"/>
              <w:jc w:val="center"/>
              <w:rPr>
                <w:rFonts w:ascii="Times New Roman" w:eastAsia="Times New Roman" w:hAnsi="Times New Roman" w:cs="Times New Roman"/>
                <w:sz w:val="16"/>
                <w:szCs w:val="16"/>
                <w:lang w:eastAsia="ru-RU"/>
              </w:rPr>
            </w:pPr>
            <w:r w:rsidRPr="00E34525">
              <w:rPr>
                <w:rFonts w:ascii="Times New Roman" w:eastAsia="Times New Roman" w:hAnsi="Times New Roman" w:cs="Times New Roman"/>
                <w:sz w:val="16"/>
                <w:szCs w:val="16"/>
                <w:lang w:eastAsia="ru-RU"/>
              </w:rPr>
              <w:t>Рис. 15. Динамика и прогноз потребления природного газа</w:t>
            </w:r>
            <w:r w:rsidRPr="00E34525">
              <w:rPr>
                <w:rFonts w:ascii="Times New Roman" w:eastAsia="Times New Roman" w:hAnsi="Times New Roman" w:cs="Times New Roman"/>
                <w:sz w:val="16"/>
                <w:szCs w:val="16"/>
                <w:lang w:eastAsia="ru-RU"/>
              </w:rPr>
              <w:br/>
              <w:t xml:space="preserve"> населением и бюджетными организациями</w:t>
            </w:r>
          </w:p>
          <w:p w:rsidR="00CF5782" w:rsidRPr="00D423B2" w:rsidRDefault="00CF5782" w:rsidP="00CF5782">
            <w:pPr>
              <w:autoSpaceDE w:val="0"/>
              <w:autoSpaceDN w:val="0"/>
              <w:adjustRightInd w:val="0"/>
              <w:ind w:firstLine="709"/>
              <w:jc w:val="both"/>
              <w:rPr>
                <w:rFonts w:ascii="Times New Roman" w:eastAsia="Times New Roman" w:hAnsi="Times New Roman" w:cs="Times New Roman"/>
                <w:sz w:val="24"/>
                <w:szCs w:val="24"/>
                <w:lang w:eastAsia="ru-RU"/>
              </w:rPr>
            </w:pPr>
          </w:p>
          <w:p w:rsidR="005E6853" w:rsidRPr="005E6853" w:rsidRDefault="005E6853" w:rsidP="005E6853">
            <w:pPr>
              <w:autoSpaceDE w:val="0"/>
              <w:autoSpaceDN w:val="0"/>
              <w:adjustRightInd w:val="0"/>
              <w:ind w:firstLine="709"/>
              <w:jc w:val="both"/>
              <w:rPr>
                <w:rFonts w:ascii="Times New Roman" w:eastAsia="Times New Roman" w:hAnsi="Times New Roman" w:cs="Times New Roman"/>
                <w:sz w:val="24"/>
                <w:szCs w:val="24"/>
                <w:lang w:eastAsia="ru-RU"/>
              </w:rPr>
            </w:pPr>
            <w:r w:rsidRPr="005E6853">
              <w:rPr>
                <w:rFonts w:ascii="Times New Roman" w:eastAsia="Times New Roman" w:hAnsi="Times New Roman" w:cs="Times New Roman"/>
                <w:sz w:val="24"/>
                <w:szCs w:val="24"/>
                <w:lang w:eastAsia="ru-RU"/>
              </w:rPr>
              <w:t>В настоящее время в рамках федеральной целевой программы «Устойчивое развитие сельских территорий на 2014 – 2017 годы и на период до 2020 года» и реализации мер по предоставлению бесплатных земельных участков многодетным семьям в Республике Татарстан осуществляется интенсивное жилищное строительство, что влечет необходимость увеличения объемов поставок газа для обеспечения населения природным газом. В этих целях Правительство Республики Татарстан ведет планомерную работу по газификации территорий путем строительства новых, реконструкции существующих сетей газоснабжения и газораспределительных установок</w:t>
            </w:r>
            <w:r w:rsidRPr="005E6853">
              <w:rPr>
                <w:rFonts w:ascii="Times New Roman" w:eastAsia="Times New Roman" w:hAnsi="Times New Roman" w:cs="Times New Roman"/>
                <w:i/>
                <w:sz w:val="24"/>
                <w:szCs w:val="24"/>
                <w:lang w:eastAsia="ru-RU"/>
              </w:rPr>
              <w:t>.</w:t>
            </w:r>
          </w:p>
          <w:p w:rsidR="000717E6" w:rsidRPr="00D423B2" w:rsidRDefault="000717E6" w:rsidP="00CF5782">
            <w:pPr>
              <w:autoSpaceDE w:val="0"/>
              <w:autoSpaceDN w:val="0"/>
              <w:adjustRightInd w:val="0"/>
              <w:ind w:firstLine="709"/>
              <w:jc w:val="both"/>
              <w:rPr>
                <w:rFonts w:ascii="Times New Roman" w:eastAsia="Times New Roman" w:hAnsi="Times New Roman" w:cs="Times New Roman"/>
                <w:sz w:val="24"/>
                <w:szCs w:val="24"/>
                <w:lang w:eastAsia="ru-RU"/>
              </w:rPr>
            </w:pPr>
          </w:p>
          <w:p w:rsidR="000717E6" w:rsidRPr="00D423B2" w:rsidRDefault="000717E6" w:rsidP="000717E6">
            <w:pPr>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3.7.1.3. Потребление природного газа в промышленности</w:t>
            </w:r>
          </w:p>
          <w:p w:rsidR="000717E6" w:rsidRPr="00D423B2" w:rsidRDefault="000717E6" w:rsidP="000717E6">
            <w:pPr>
              <w:ind w:firstLine="709"/>
              <w:jc w:val="both"/>
              <w:rPr>
                <w:rFonts w:ascii="Times New Roman" w:eastAsia="Times New Roman" w:hAnsi="Times New Roman" w:cs="Times New Roman"/>
                <w:sz w:val="24"/>
                <w:szCs w:val="24"/>
                <w:lang w:eastAsia="ru-RU"/>
              </w:rPr>
            </w:pP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Природный газ является ценнейшим сырьем для нефтегазохимической промышленности, развитие которой может дать мощный импульс как экономике Республики Татарстан, так и экономике Российской Федерации в целом.</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Переориентация использования газа с топливных на сырьевые цели обеспечит рост производства с более высокой добавленной стоимостью, позволит пополнить доходы республиканского бюджета, создать дополнительные рабочие места.</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Во исполнение задач по формированию основ национальной конкурентоспособности, преодолению зависимости от сырьевого экспорта и созданию новых эффективных предприятий в Нижнекамском промышленном узле Республики Татарстан, включающим в себя Нижнекамский, Альметьевский, Менделеевский промышленные районы, г. Набережные Челны и Особую экономическую зону промышленно-производственного типа «Алабуга», осуществляются масштабные проекты, направленные на совершенствование процессов добычи и переработки углеводородного сырья.</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К указанным проектам относятся проекты строительства Комплекса глубокой переработки тяжелых остатков нефтеперерабатывающего завода АО «ТАИФ-НК»; «Олефиновый комплекс» (ЭП-600) ПАО «Нижнекамскнефтехим» Комплекса «ТАНЕКО»; разработка Ашальчинского нефтебитумного месторождения с использованием новых тепловых методов извлечения. Планируется создание экономической зоны промышленно-производственного типа «АлмА» на территории Альметьевского муниципального района, Нижнекамского муниципального района и Лениногорского муниципального района Республики Татарстан. Кроме того, уже в 2016 году состоялся запуск завода АО «Аммоний» по производству аммиака, метанола и гранулированного карбамида в г. Менделеевск.</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Одновременно с ростом промышленного потребления газа будет увеличиваться и потребность энергетического комплекса республики в природном газе для обеспечения надежного энергоснабжения новых потребителей.</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 xml:space="preserve">Доля промышленности в потреблении газа за 2018 год составила </w:t>
            </w:r>
            <w:r w:rsidRPr="00784718">
              <w:rPr>
                <w:rFonts w:ascii="Times New Roman" w:eastAsia="Times New Roman" w:hAnsi="Times New Roman" w:cs="Times New Roman"/>
                <w:sz w:val="24"/>
                <w:szCs w:val="24"/>
                <w:lang w:eastAsia="ru-RU"/>
              </w:rPr>
              <w:br/>
              <w:t xml:space="preserve">30,6 процента. Объем потребления природного газа в промышленности в 2018 году составил 5 533,7 млн куб. метров (рост на 29 процентов по сравнению с 2017 годом). </w:t>
            </w:r>
          </w:p>
          <w:p w:rsidR="00784718" w:rsidRPr="00784718" w:rsidRDefault="00784718" w:rsidP="00784718">
            <w:pPr>
              <w:ind w:firstLine="709"/>
              <w:jc w:val="both"/>
              <w:rPr>
                <w:rFonts w:ascii="Times New Roman" w:eastAsia="Times New Roman" w:hAnsi="Times New Roman" w:cs="Times New Roman"/>
                <w:sz w:val="24"/>
                <w:szCs w:val="24"/>
                <w:lang w:eastAsia="ru-RU"/>
              </w:rPr>
            </w:pPr>
            <w:r w:rsidRPr="00784718">
              <w:rPr>
                <w:rFonts w:ascii="Times New Roman" w:eastAsia="Times New Roman" w:hAnsi="Times New Roman" w:cs="Times New Roman"/>
                <w:sz w:val="24"/>
                <w:szCs w:val="24"/>
                <w:lang w:eastAsia="ru-RU"/>
              </w:rPr>
              <w:t>Тенденция опережающего роста промышленного газопотребления в Республике Татарстан в прогнозируемом периоде до 2030 года сохранится.</w:t>
            </w:r>
          </w:p>
          <w:p w:rsidR="000717E6" w:rsidRDefault="000717E6" w:rsidP="000717E6">
            <w:pPr>
              <w:autoSpaceDE w:val="0"/>
              <w:autoSpaceDN w:val="0"/>
              <w:adjustRightInd w:val="0"/>
              <w:ind w:firstLine="709"/>
              <w:jc w:val="both"/>
              <w:rPr>
                <w:rFonts w:ascii="Times New Roman" w:eastAsia="Calibri" w:hAnsi="Times New Roman" w:cs="Times New Roman"/>
                <w:sz w:val="24"/>
                <w:szCs w:val="24"/>
                <w:lang w:eastAsia="ru-RU"/>
              </w:rPr>
            </w:pPr>
          </w:p>
          <w:p w:rsidR="003F255B" w:rsidRDefault="003F255B" w:rsidP="000717E6">
            <w:pPr>
              <w:autoSpaceDE w:val="0"/>
              <w:autoSpaceDN w:val="0"/>
              <w:adjustRightInd w:val="0"/>
              <w:ind w:firstLine="709"/>
              <w:jc w:val="both"/>
              <w:rPr>
                <w:rFonts w:ascii="Times New Roman" w:eastAsia="Calibri" w:hAnsi="Times New Roman" w:cs="Times New Roman"/>
                <w:sz w:val="24"/>
                <w:szCs w:val="24"/>
                <w:lang w:eastAsia="ru-RU"/>
              </w:rPr>
            </w:pPr>
          </w:p>
          <w:p w:rsidR="003F255B" w:rsidRDefault="003F255B" w:rsidP="000717E6">
            <w:pPr>
              <w:autoSpaceDE w:val="0"/>
              <w:autoSpaceDN w:val="0"/>
              <w:adjustRightInd w:val="0"/>
              <w:ind w:firstLine="709"/>
              <w:jc w:val="both"/>
              <w:rPr>
                <w:rFonts w:ascii="Times New Roman" w:eastAsia="Calibri" w:hAnsi="Times New Roman" w:cs="Times New Roman"/>
                <w:sz w:val="24"/>
                <w:szCs w:val="24"/>
                <w:lang w:eastAsia="ru-RU"/>
              </w:rPr>
            </w:pPr>
          </w:p>
          <w:p w:rsidR="003F255B" w:rsidRDefault="003F255B" w:rsidP="000717E6">
            <w:pPr>
              <w:autoSpaceDE w:val="0"/>
              <w:autoSpaceDN w:val="0"/>
              <w:adjustRightInd w:val="0"/>
              <w:ind w:firstLine="709"/>
              <w:jc w:val="both"/>
              <w:rPr>
                <w:rFonts w:ascii="Times New Roman" w:eastAsia="Calibri" w:hAnsi="Times New Roman" w:cs="Times New Roman"/>
                <w:sz w:val="24"/>
                <w:szCs w:val="24"/>
                <w:lang w:eastAsia="ru-RU"/>
              </w:rPr>
            </w:pPr>
          </w:p>
          <w:p w:rsidR="003F255B" w:rsidRPr="00D423B2" w:rsidRDefault="003F255B" w:rsidP="000717E6">
            <w:pPr>
              <w:autoSpaceDE w:val="0"/>
              <w:autoSpaceDN w:val="0"/>
              <w:adjustRightInd w:val="0"/>
              <w:ind w:firstLine="709"/>
              <w:jc w:val="both"/>
              <w:rPr>
                <w:rFonts w:ascii="Times New Roman" w:eastAsia="Calibri" w:hAnsi="Times New Roman" w:cs="Times New Roman"/>
                <w:sz w:val="24"/>
                <w:szCs w:val="24"/>
                <w:lang w:eastAsia="ru-RU"/>
              </w:rPr>
            </w:pPr>
          </w:p>
          <w:p w:rsidR="000717E6" w:rsidRPr="00D423B2" w:rsidRDefault="006312BA" w:rsidP="00CF5782">
            <w:pPr>
              <w:autoSpaceDE w:val="0"/>
              <w:autoSpaceDN w:val="0"/>
              <w:adjustRightInd w:val="0"/>
              <w:ind w:firstLine="709"/>
              <w:jc w:val="both"/>
              <w:rPr>
                <w:rFonts w:ascii="Times New Roman" w:eastAsia="Calibri" w:hAnsi="Times New Roman" w:cs="Times New Roman"/>
                <w:sz w:val="24"/>
                <w:szCs w:val="24"/>
                <w:lang w:eastAsia="ru-RU"/>
              </w:rPr>
            </w:pPr>
            <w:r w:rsidRPr="00D423B2">
              <w:rPr>
                <w:rFonts w:ascii="Times New Roman" w:eastAsia="Calibri" w:hAnsi="Times New Roman" w:cs="Times New Roman"/>
                <w:noProof/>
                <w:sz w:val="24"/>
                <w:szCs w:val="24"/>
                <w:lang w:eastAsia="ru-RU"/>
              </w:rPr>
              <w:drawing>
                <wp:inline distT="0" distB="0" distL="0" distR="0" wp14:anchorId="676A2428" wp14:editId="6DF9F9EE">
                  <wp:extent cx="2476500" cy="116205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88381" cy="1167625"/>
                          </a:xfrm>
                          <a:prstGeom prst="rect">
                            <a:avLst/>
                          </a:prstGeom>
                          <a:noFill/>
                        </pic:spPr>
                      </pic:pic>
                    </a:graphicData>
                  </a:graphic>
                </wp:inline>
              </w:drawing>
            </w:r>
          </w:p>
          <w:p w:rsidR="0087667B" w:rsidRDefault="0087667B" w:rsidP="0087667B">
            <w:pPr>
              <w:ind w:firstLine="709"/>
              <w:jc w:val="center"/>
              <w:rPr>
                <w:rFonts w:ascii="Times New Roman" w:eastAsia="Times New Roman" w:hAnsi="Times New Roman" w:cs="Times New Roman"/>
                <w:sz w:val="16"/>
                <w:szCs w:val="16"/>
                <w:lang w:eastAsia="ru-RU"/>
              </w:rPr>
            </w:pPr>
          </w:p>
          <w:p w:rsidR="0087667B" w:rsidRPr="0087667B" w:rsidRDefault="0087667B" w:rsidP="0087667B">
            <w:pPr>
              <w:ind w:firstLine="709"/>
              <w:jc w:val="center"/>
              <w:rPr>
                <w:rFonts w:ascii="Times New Roman" w:eastAsia="Times New Roman" w:hAnsi="Times New Roman" w:cs="Times New Roman"/>
                <w:i/>
                <w:sz w:val="16"/>
                <w:szCs w:val="16"/>
                <w:lang w:eastAsia="ru-RU"/>
              </w:rPr>
            </w:pPr>
            <w:r w:rsidRPr="0087667B">
              <w:rPr>
                <w:rFonts w:ascii="Times New Roman" w:eastAsia="Times New Roman" w:hAnsi="Times New Roman" w:cs="Times New Roman"/>
                <w:sz w:val="16"/>
                <w:szCs w:val="16"/>
                <w:lang w:eastAsia="ru-RU"/>
              </w:rPr>
              <w:t>Рис. 16. Динамика и прогноз потребления природного газа в промышленности</w:t>
            </w:r>
          </w:p>
          <w:p w:rsidR="0087667B" w:rsidRPr="0087667B" w:rsidRDefault="0087667B" w:rsidP="0087667B">
            <w:pPr>
              <w:ind w:firstLine="709"/>
              <w:jc w:val="center"/>
              <w:rPr>
                <w:rFonts w:ascii="Times New Roman" w:eastAsia="Times New Roman" w:hAnsi="Times New Roman" w:cs="Times New Roman"/>
                <w:sz w:val="16"/>
                <w:szCs w:val="16"/>
                <w:lang w:eastAsia="ru-RU"/>
              </w:rPr>
            </w:pPr>
          </w:p>
          <w:p w:rsidR="00974502" w:rsidRPr="00D423B2" w:rsidRDefault="00974502" w:rsidP="003A2879">
            <w:pPr>
              <w:jc w:val="center"/>
              <w:rPr>
                <w:rFonts w:ascii="Times New Roman" w:hAnsi="Times New Roman" w:cs="Times New Roman"/>
                <w:sz w:val="24"/>
                <w:szCs w:val="24"/>
              </w:rPr>
            </w:pPr>
          </w:p>
          <w:p w:rsidR="00DF489B" w:rsidRPr="00D423B2" w:rsidRDefault="00DF489B" w:rsidP="00DF489B">
            <w:pPr>
              <w:ind w:firstLine="708"/>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3.7.2. Газификация Республики Татарстан</w:t>
            </w:r>
          </w:p>
          <w:p w:rsidR="00DF489B" w:rsidRPr="00D423B2" w:rsidRDefault="00DF489B" w:rsidP="00DF489B">
            <w:pPr>
              <w:ind w:firstLine="709"/>
              <w:jc w:val="both"/>
              <w:rPr>
                <w:rFonts w:ascii="Times New Roman" w:eastAsia="Times New Roman" w:hAnsi="Times New Roman" w:cs="Times New Roman"/>
                <w:sz w:val="24"/>
                <w:szCs w:val="24"/>
                <w:lang w:eastAsia="ru-RU"/>
              </w:rPr>
            </w:pPr>
          </w:p>
          <w:p w:rsidR="00FE2C93" w:rsidRPr="00FE2C93" w:rsidRDefault="00FE2C93" w:rsidP="00FE2C93">
            <w:pPr>
              <w:ind w:firstLine="709"/>
              <w:jc w:val="both"/>
              <w:rPr>
                <w:rFonts w:ascii="Times New Roman" w:eastAsia="Times New Roman" w:hAnsi="Times New Roman" w:cs="Times New Roman"/>
                <w:sz w:val="24"/>
                <w:szCs w:val="24"/>
                <w:lang w:eastAsia="ru-RU"/>
              </w:rPr>
            </w:pPr>
            <w:r w:rsidRPr="00FE2C93">
              <w:rPr>
                <w:rFonts w:ascii="Times New Roman" w:eastAsia="Times New Roman" w:hAnsi="Times New Roman" w:cs="Times New Roman"/>
                <w:sz w:val="24"/>
                <w:szCs w:val="24"/>
                <w:lang w:eastAsia="ru-RU"/>
              </w:rPr>
              <w:t xml:space="preserve">По показателям газификации Республика Татарстан занимает лидирующее положение среди регионов России. Уровень газификации Республики Татарстан </w:t>
            </w:r>
            <w:r w:rsidRPr="00FE2C93">
              <w:rPr>
                <w:rFonts w:ascii="Times New Roman" w:eastAsia="Times New Roman" w:hAnsi="Times New Roman" w:cs="Times New Roman"/>
                <w:sz w:val="24"/>
                <w:szCs w:val="24"/>
                <w:lang w:eastAsia="ru-RU"/>
              </w:rPr>
              <w:br/>
              <w:t>на 2018 год достиг 99,51 процента, при этом характерной особенностью Татарстана является то, что высокие показатели газификации обеспечены в равной степени для городов и сельских населенных пунктов. Общее количество газифицированных квартир и индивидуальных жилых домов достигло 1,488 миллиона. В среднем в республике ежегодно газифицируется 19 тыс. квартир (рисунок 17).</w:t>
            </w:r>
          </w:p>
          <w:p w:rsidR="00CD3C5A" w:rsidRPr="00D423B2" w:rsidRDefault="00CD3C5A" w:rsidP="00DF489B">
            <w:pPr>
              <w:ind w:firstLine="709"/>
              <w:jc w:val="both"/>
              <w:rPr>
                <w:rFonts w:ascii="Times New Roman" w:eastAsia="Times New Roman" w:hAnsi="Times New Roman" w:cs="Times New Roman"/>
                <w:sz w:val="24"/>
                <w:szCs w:val="24"/>
                <w:lang w:eastAsia="ru-RU"/>
              </w:rPr>
            </w:pPr>
          </w:p>
          <w:p w:rsidR="00CD3C5A" w:rsidRPr="00D423B2" w:rsidRDefault="00CD3C5A" w:rsidP="00DF489B">
            <w:pPr>
              <w:ind w:firstLine="709"/>
              <w:jc w:val="both"/>
              <w:rPr>
                <w:rFonts w:ascii="Times New Roman" w:eastAsia="Times New Roman" w:hAnsi="Times New Roman" w:cs="Times New Roman"/>
                <w:sz w:val="24"/>
                <w:szCs w:val="24"/>
                <w:lang w:eastAsia="ru-RU"/>
              </w:rPr>
            </w:pPr>
          </w:p>
          <w:p w:rsidR="00CD3C5A" w:rsidRDefault="00CD3C5A" w:rsidP="00DF489B">
            <w:pPr>
              <w:ind w:firstLine="709"/>
              <w:jc w:val="both"/>
              <w:rPr>
                <w:rFonts w:ascii="Times New Roman" w:eastAsia="Times New Roman" w:hAnsi="Times New Roman" w:cs="Times New Roman"/>
                <w:sz w:val="24"/>
                <w:szCs w:val="24"/>
                <w:lang w:eastAsia="ru-RU"/>
              </w:rPr>
            </w:pPr>
          </w:p>
          <w:p w:rsidR="00277137" w:rsidRDefault="00277137" w:rsidP="00DF489B">
            <w:pPr>
              <w:ind w:firstLine="709"/>
              <w:jc w:val="both"/>
              <w:rPr>
                <w:rFonts w:ascii="Times New Roman" w:eastAsia="Times New Roman" w:hAnsi="Times New Roman" w:cs="Times New Roman"/>
                <w:sz w:val="24"/>
                <w:szCs w:val="24"/>
                <w:lang w:eastAsia="ru-RU"/>
              </w:rPr>
            </w:pPr>
          </w:p>
          <w:p w:rsidR="00277137" w:rsidRDefault="00277137" w:rsidP="00DF489B">
            <w:pPr>
              <w:ind w:firstLine="709"/>
              <w:jc w:val="both"/>
              <w:rPr>
                <w:rFonts w:ascii="Times New Roman" w:eastAsia="Times New Roman" w:hAnsi="Times New Roman" w:cs="Times New Roman"/>
                <w:sz w:val="24"/>
                <w:szCs w:val="24"/>
                <w:lang w:eastAsia="ru-RU"/>
              </w:rPr>
            </w:pPr>
          </w:p>
          <w:p w:rsidR="00277137" w:rsidRDefault="00277137" w:rsidP="00DF489B">
            <w:pPr>
              <w:ind w:firstLine="709"/>
              <w:jc w:val="both"/>
              <w:rPr>
                <w:rFonts w:ascii="Times New Roman" w:eastAsia="Times New Roman" w:hAnsi="Times New Roman" w:cs="Times New Roman"/>
                <w:sz w:val="24"/>
                <w:szCs w:val="24"/>
                <w:lang w:eastAsia="ru-RU"/>
              </w:rPr>
            </w:pPr>
          </w:p>
          <w:p w:rsidR="00277137" w:rsidRDefault="00277137" w:rsidP="00DF489B">
            <w:pPr>
              <w:ind w:firstLine="709"/>
              <w:jc w:val="both"/>
              <w:rPr>
                <w:rFonts w:ascii="Times New Roman" w:eastAsia="Times New Roman" w:hAnsi="Times New Roman" w:cs="Times New Roman"/>
                <w:sz w:val="24"/>
                <w:szCs w:val="24"/>
                <w:lang w:eastAsia="ru-RU"/>
              </w:rPr>
            </w:pPr>
          </w:p>
          <w:p w:rsidR="00277137" w:rsidRDefault="00277137" w:rsidP="00DF489B">
            <w:pPr>
              <w:ind w:firstLine="709"/>
              <w:jc w:val="both"/>
              <w:rPr>
                <w:rFonts w:ascii="Times New Roman" w:eastAsia="Times New Roman" w:hAnsi="Times New Roman" w:cs="Times New Roman"/>
                <w:sz w:val="24"/>
                <w:szCs w:val="24"/>
                <w:lang w:eastAsia="ru-RU"/>
              </w:rPr>
            </w:pPr>
          </w:p>
          <w:p w:rsidR="00277137" w:rsidRDefault="00277137" w:rsidP="00DF489B">
            <w:pPr>
              <w:ind w:firstLine="709"/>
              <w:jc w:val="both"/>
              <w:rPr>
                <w:rFonts w:ascii="Times New Roman" w:eastAsia="Times New Roman" w:hAnsi="Times New Roman" w:cs="Times New Roman"/>
                <w:sz w:val="24"/>
                <w:szCs w:val="24"/>
                <w:lang w:eastAsia="ru-RU"/>
              </w:rPr>
            </w:pPr>
          </w:p>
          <w:p w:rsidR="00277137" w:rsidRPr="00D423B2" w:rsidRDefault="00277137" w:rsidP="00DF489B">
            <w:pPr>
              <w:ind w:firstLine="709"/>
              <w:jc w:val="both"/>
              <w:rPr>
                <w:rFonts w:ascii="Times New Roman" w:eastAsia="Times New Roman" w:hAnsi="Times New Roman" w:cs="Times New Roman"/>
                <w:sz w:val="24"/>
                <w:szCs w:val="24"/>
                <w:lang w:eastAsia="ru-RU"/>
              </w:rPr>
            </w:pPr>
          </w:p>
          <w:p w:rsidR="00DF489B" w:rsidRPr="00D423B2" w:rsidRDefault="00CD3C5A" w:rsidP="003A2879">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29F612C7" wp14:editId="603B24BF">
                  <wp:extent cx="2645186" cy="1371600"/>
                  <wp:effectExtent l="0" t="0" r="317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48247" cy="1373187"/>
                          </a:xfrm>
                          <a:prstGeom prst="rect">
                            <a:avLst/>
                          </a:prstGeom>
                          <a:noFill/>
                        </pic:spPr>
                      </pic:pic>
                    </a:graphicData>
                  </a:graphic>
                </wp:inline>
              </w:drawing>
            </w:r>
          </w:p>
          <w:p w:rsidR="00CD3C5A" w:rsidRPr="00D423B2" w:rsidRDefault="00CD3C5A" w:rsidP="003A2879">
            <w:pPr>
              <w:jc w:val="center"/>
              <w:rPr>
                <w:rFonts w:ascii="Times New Roman" w:hAnsi="Times New Roman" w:cs="Times New Roman"/>
                <w:sz w:val="24"/>
                <w:szCs w:val="24"/>
              </w:rPr>
            </w:pPr>
          </w:p>
          <w:p w:rsidR="00A50534" w:rsidRPr="00A50534" w:rsidRDefault="00A50534" w:rsidP="00A50534">
            <w:pPr>
              <w:ind w:firstLine="709"/>
              <w:jc w:val="center"/>
              <w:rPr>
                <w:rFonts w:ascii="Times New Roman" w:eastAsia="Times New Roman" w:hAnsi="Times New Roman" w:cs="Times New Roman"/>
                <w:sz w:val="16"/>
                <w:szCs w:val="16"/>
                <w:lang w:eastAsia="ru-RU"/>
              </w:rPr>
            </w:pPr>
            <w:r w:rsidRPr="00A50534">
              <w:rPr>
                <w:rFonts w:ascii="Times New Roman" w:eastAsia="Times New Roman" w:hAnsi="Times New Roman" w:cs="Times New Roman"/>
                <w:sz w:val="16"/>
                <w:szCs w:val="16"/>
                <w:lang w:eastAsia="ru-RU"/>
              </w:rPr>
              <w:t>Рис. 17. Уровень газификации Республики Татарстан</w:t>
            </w:r>
          </w:p>
          <w:p w:rsidR="00CD3C5A" w:rsidRPr="00D423B2" w:rsidRDefault="00CD3C5A" w:rsidP="003A2879">
            <w:pPr>
              <w:jc w:val="center"/>
              <w:rPr>
                <w:rFonts w:ascii="Times New Roman" w:hAnsi="Times New Roman" w:cs="Times New Roman"/>
                <w:sz w:val="24"/>
                <w:szCs w:val="24"/>
              </w:rPr>
            </w:pP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Для решения перспективных проблем, связанных с обеспечением социальной сферы, в республике проводится постоянная работа по газификации объектов социально-бытового назначения и жилищного фонда.</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Начиная с 2006 года основным источником финансирования мероприятий по газификации Республики Татарстан является специальная надбавка к тарифу на услуги по транспортировке газа по газораспределительным сетям.</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Суммарный объем расходов мероприятий по газификации, финансируемых за счет специальных надбавок к тарифу на услуги по транспортировке газа по газораспределительным сетям, за период с 2006 по 2018 год составил 3 208 млн рублей.</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В целях упорядочивания и оптимизации работы по дальнейшей газификации республики на республиканском уровне разрабатываются и утверждаются нормативные правовые акты в сфере газоснабжения.</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 xml:space="preserve">Работы по развитию газификации будут продолжены с учетом строительства жилья и объектов социальной инфраструктуры, а также роста потребностей промышленных предприятий. </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 xml:space="preserve">Единая система газоснабжения Республики Татарстан включает в </w:t>
            </w:r>
            <w:r w:rsidRPr="00086872">
              <w:rPr>
                <w:rFonts w:ascii="Times New Roman" w:eastAsia="Times New Roman" w:hAnsi="Times New Roman" w:cs="Times New Roman"/>
                <w:sz w:val="24"/>
                <w:szCs w:val="24"/>
                <w:lang w:eastAsia="ru-RU"/>
              </w:rPr>
              <w:br/>
              <w:t xml:space="preserve">себя 5,762 тыс. км магистральных газопроводов и газопроводов-отводов, а </w:t>
            </w:r>
            <w:r w:rsidRPr="00086872">
              <w:rPr>
                <w:rFonts w:ascii="Times New Roman" w:eastAsia="Times New Roman" w:hAnsi="Times New Roman" w:cs="Times New Roman"/>
                <w:sz w:val="24"/>
                <w:szCs w:val="24"/>
                <w:lang w:eastAsia="ru-RU"/>
              </w:rPr>
              <w:br/>
              <w:t>также 41,9 тыс. км распределительных газопроводов.</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Важнейшим направлением деятельности является содействие развитию газотранспортных мощностей для обеспечения природным газом масштабных инвестиционных проектов, реализуемых в республике.</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В 2018 году утверждена Генеральная схема газоснабжения и газификации Республики Татарстан.</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В рамках инвестиционных программ ПАО «Газпром» на территории республики запланированы инвестиционные проекты:</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«Газопровод-отвод до н.п. Елизаветино» – завершен 1 этап реализации инвестиционного проекта для обеспечения газоснабжения города Иннополис в объеме 20 тыс. кубометров в час. В настоящее время реализуется 2 этап данного проекта, завершение которого позволит выйти на проектные мощности и достичь объемов потребления города Иннополис до 100 тыс. кубометров в час;</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«Реконструкция газопровода Можга – Елабуга» - позволит обеспечить дополнительным объемом природного газа потребителей Камского инновационного территориально-производственного кластера Республики Татарстан с учетом планов ОАО «ТАНЕКО», ОАО «Нижнекамскнефтехим», ОАО «ТАИФ-НК», а также предприятий особой экономической зоны «Алабуга»;</w:t>
            </w:r>
          </w:p>
          <w:p w:rsidR="00086872" w:rsidRPr="00086872" w:rsidRDefault="00086872" w:rsidP="00086872">
            <w:pPr>
              <w:ind w:firstLine="709"/>
              <w:jc w:val="both"/>
              <w:rPr>
                <w:rFonts w:ascii="Times New Roman" w:eastAsia="Times New Roman" w:hAnsi="Times New Roman" w:cs="Times New Roman"/>
                <w:sz w:val="24"/>
                <w:szCs w:val="24"/>
                <w:lang w:eastAsia="ru-RU"/>
              </w:rPr>
            </w:pPr>
            <w:r w:rsidRPr="00086872">
              <w:rPr>
                <w:rFonts w:ascii="Times New Roman" w:eastAsia="Times New Roman" w:hAnsi="Times New Roman" w:cs="Times New Roman"/>
                <w:sz w:val="24"/>
                <w:szCs w:val="24"/>
                <w:lang w:eastAsia="ru-RU"/>
              </w:rPr>
              <w:t>«Реконструкция газопровода Миннибаево – Казань на участке 220-285 км» - позволит модернизировать газотранспортную систему Казанской зоны.</w:t>
            </w:r>
          </w:p>
          <w:p w:rsidR="00C068EB" w:rsidRPr="00D423B2" w:rsidRDefault="00086872" w:rsidP="00086872">
            <w:pPr>
              <w:jc w:val="both"/>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             </w:t>
            </w:r>
            <w:r w:rsidRPr="00086872">
              <w:rPr>
                <w:rFonts w:ascii="Times New Roman" w:eastAsia="Times New Roman" w:hAnsi="Times New Roman" w:cs="Times New Roman"/>
                <w:sz w:val="24"/>
                <w:szCs w:val="24"/>
                <w:lang w:eastAsia="ru-RU"/>
              </w:rPr>
              <w:t>Строительство вышеперечисленных объектов в целом позволит повысить надежность и пропускную способность газотранспортной системы республики и обеспечить доступ к ней новых потребителей.</w:t>
            </w:r>
          </w:p>
          <w:p w:rsidR="00086872" w:rsidRDefault="00086872" w:rsidP="009770F0">
            <w:pPr>
              <w:widowControl w:val="0"/>
              <w:autoSpaceDE w:val="0"/>
              <w:autoSpaceDN w:val="0"/>
              <w:ind w:firstLine="540"/>
              <w:jc w:val="both"/>
              <w:outlineLvl w:val="3"/>
              <w:rPr>
                <w:rFonts w:ascii="Times New Roman" w:eastAsia="Calibri" w:hAnsi="Times New Roman" w:cs="Times New Roman"/>
                <w:sz w:val="24"/>
                <w:szCs w:val="24"/>
              </w:rPr>
            </w:pPr>
          </w:p>
          <w:p w:rsidR="009770F0" w:rsidRPr="00D423B2" w:rsidRDefault="009770F0" w:rsidP="009770F0">
            <w:pPr>
              <w:widowControl w:val="0"/>
              <w:autoSpaceDE w:val="0"/>
              <w:autoSpaceDN w:val="0"/>
              <w:ind w:firstLine="540"/>
              <w:jc w:val="both"/>
              <w:outlineLvl w:val="3"/>
              <w:rPr>
                <w:rFonts w:ascii="Times New Roman" w:eastAsia="Calibri" w:hAnsi="Times New Roman" w:cs="Times New Roman"/>
                <w:sz w:val="24"/>
                <w:szCs w:val="24"/>
              </w:rPr>
            </w:pPr>
            <w:r w:rsidRPr="00D423B2">
              <w:rPr>
                <w:rFonts w:ascii="Times New Roman" w:eastAsia="Calibri" w:hAnsi="Times New Roman" w:cs="Times New Roman"/>
                <w:sz w:val="24"/>
                <w:szCs w:val="24"/>
              </w:rPr>
              <w:t>3.7.3. Использование газомоторного топлива в Республике Татарстан</w:t>
            </w:r>
          </w:p>
          <w:p w:rsidR="009770F0" w:rsidRPr="00D423B2" w:rsidRDefault="009770F0" w:rsidP="009770F0">
            <w:pPr>
              <w:ind w:firstLine="540"/>
              <w:jc w:val="both"/>
              <w:rPr>
                <w:rFonts w:ascii="Times New Roman" w:eastAsia="Times New Roman" w:hAnsi="Times New Roman" w:cs="Times New Roman"/>
                <w:sz w:val="24"/>
                <w:szCs w:val="24"/>
                <w:lang w:eastAsia="ru-RU"/>
              </w:rPr>
            </w:pPr>
          </w:p>
          <w:p w:rsidR="00460A97" w:rsidRPr="00460A97" w:rsidRDefault="00460A97" w:rsidP="00460A97">
            <w:pPr>
              <w:ind w:firstLine="540"/>
              <w:jc w:val="both"/>
              <w:rPr>
                <w:rFonts w:ascii="Times New Roman" w:eastAsia="Times New Roman" w:hAnsi="Times New Roman" w:cs="Times New Roman"/>
                <w:sz w:val="24"/>
                <w:szCs w:val="24"/>
                <w:lang w:eastAsia="ru-RU"/>
              </w:rPr>
            </w:pPr>
            <w:r w:rsidRPr="00460A97">
              <w:rPr>
                <w:rFonts w:ascii="Times New Roman" w:eastAsia="Times New Roman" w:hAnsi="Times New Roman" w:cs="Times New Roman"/>
                <w:sz w:val="24"/>
                <w:szCs w:val="24"/>
                <w:lang w:eastAsia="ru-RU"/>
              </w:rPr>
              <w:t>В Республике Татарстан успешно реализуется государственная программа «Развитие рынка газомоторного топлива в Республике Татарстан на 2013 – 2023 годы». В рамках данной программы осуществляется закупка газомоторной техники и перевод существующей техники на газомоторное топливо.</w:t>
            </w:r>
          </w:p>
          <w:p w:rsidR="00460A97" w:rsidRPr="00460A97" w:rsidRDefault="00460A97" w:rsidP="00460A97">
            <w:pPr>
              <w:ind w:firstLine="540"/>
              <w:jc w:val="both"/>
              <w:rPr>
                <w:rFonts w:ascii="Times New Roman" w:eastAsia="Times New Roman" w:hAnsi="Times New Roman" w:cs="Times New Roman"/>
                <w:sz w:val="24"/>
                <w:szCs w:val="24"/>
                <w:lang w:eastAsia="ru-RU"/>
              </w:rPr>
            </w:pPr>
            <w:r w:rsidRPr="00460A97">
              <w:rPr>
                <w:rFonts w:ascii="Times New Roman" w:eastAsia="Times New Roman" w:hAnsi="Times New Roman" w:cs="Times New Roman"/>
                <w:sz w:val="24"/>
                <w:szCs w:val="24"/>
                <w:lang w:eastAsia="ru-RU"/>
              </w:rPr>
              <w:t>Основным потребителем газомоторного топлива в Республике Татарстан является автотранспортный комплекс.</w:t>
            </w:r>
          </w:p>
          <w:p w:rsidR="00460A97" w:rsidRPr="00460A97" w:rsidRDefault="00460A97" w:rsidP="00460A97">
            <w:pPr>
              <w:ind w:firstLine="540"/>
              <w:jc w:val="both"/>
              <w:rPr>
                <w:rFonts w:ascii="Times New Roman" w:eastAsia="Times New Roman" w:hAnsi="Times New Roman" w:cs="Times New Roman"/>
                <w:sz w:val="24"/>
                <w:szCs w:val="24"/>
                <w:lang w:eastAsia="ru-RU"/>
              </w:rPr>
            </w:pPr>
            <w:r w:rsidRPr="00460A97">
              <w:rPr>
                <w:rFonts w:ascii="Times New Roman" w:eastAsia="Times New Roman" w:hAnsi="Times New Roman" w:cs="Times New Roman"/>
                <w:sz w:val="24"/>
                <w:szCs w:val="24"/>
                <w:lang w:eastAsia="ru-RU"/>
              </w:rPr>
              <w:t>Использование газомоторного топлива автомобильным транспортом вместо традиционных нефтяных видов топлива имеет особое значение для улучшения экологической обстановки в Республике Татарстан.</w:t>
            </w:r>
          </w:p>
          <w:p w:rsidR="00460A97" w:rsidRPr="00460A97" w:rsidRDefault="00460A97" w:rsidP="00460A97">
            <w:pPr>
              <w:ind w:firstLine="540"/>
              <w:jc w:val="both"/>
              <w:rPr>
                <w:rFonts w:ascii="Times New Roman" w:eastAsia="Times New Roman" w:hAnsi="Times New Roman" w:cs="Times New Roman"/>
                <w:sz w:val="24"/>
                <w:szCs w:val="24"/>
                <w:lang w:eastAsia="ru-RU"/>
              </w:rPr>
            </w:pPr>
            <w:r w:rsidRPr="00460A97">
              <w:rPr>
                <w:rFonts w:ascii="Times New Roman" w:eastAsia="Times New Roman" w:hAnsi="Times New Roman" w:cs="Times New Roman"/>
                <w:sz w:val="24"/>
                <w:szCs w:val="24"/>
                <w:lang w:eastAsia="ru-RU"/>
              </w:rPr>
              <w:t>Необходимым условием для расширения использования газомоторного топлива в транспортном комплексе является синхронизация создания сети автогазозаправочных станций на территории республики с приобретением новой заводской техники в газомоторном исполнении и переоборудованием действующих парков на использование природного газа в качестве моторного топлива.</w:t>
            </w:r>
          </w:p>
          <w:p w:rsidR="00460A97" w:rsidRPr="00460A97" w:rsidRDefault="00460A97" w:rsidP="00460A97">
            <w:pPr>
              <w:ind w:firstLine="540"/>
              <w:jc w:val="both"/>
              <w:rPr>
                <w:rFonts w:ascii="Times New Roman" w:eastAsia="Times New Roman" w:hAnsi="Times New Roman" w:cs="Times New Roman"/>
                <w:sz w:val="24"/>
                <w:szCs w:val="24"/>
                <w:lang w:eastAsia="ru-RU"/>
              </w:rPr>
            </w:pPr>
            <w:r w:rsidRPr="00460A97">
              <w:rPr>
                <w:rFonts w:ascii="Times New Roman" w:eastAsia="Times New Roman" w:hAnsi="Times New Roman" w:cs="Times New Roman"/>
                <w:sz w:val="24"/>
                <w:szCs w:val="24"/>
                <w:lang w:eastAsia="ru-RU"/>
              </w:rPr>
              <w:t>В настоящее время на территории Республики Татарстан расположены</w:t>
            </w:r>
            <w:r w:rsidRPr="00460A97">
              <w:rPr>
                <w:rFonts w:ascii="Times New Roman" w:eastAsia="Times New Roman" w:hAnsi="Times New Roman" w:cs="Times New Roman"/>
                <w:sz w:val="24"/>
                <w:szCs w:val="24"/>
                <w:lang w:eastAsia="ru-RU"/>
              </w:rPr>
              <w:br/>
              <w:t>20 действующих автомобильных газонаполнительных компрессорных станций (далее – АГНКС) и один передвижной автогазозаправщик (далее – ПАГЗ) на территории Менделеевского района Республики Татарстан. Суммарная производственная мощность данных АГНКС составляет более 150 млн куб. метров компримированного природного газа (далее – КПГ) в год. Средняя загрузка АГНКС на территории Республики Татарстан по итогам 2018 года составила 24 процента, объем реализации КПГ составил около 36 млн куб. метров. С 2012 года ежегодное потребление компримированного природного газа выросло с 4,5 до 36,0 млн куб. метров.</w:t>
            </w:r>
          </w:p>
          <w:p w:rsidR="00162824" w:rsidRPr="00D423B2" w:rsidRDefault="00162824" w:rsidP="00162824">
            <w:pPr>
              <w:jc w:val="center"/>
              <w:rPr>
                <w:rFonts w:ascii="Times New Roman" w:eastAsia="Times New Roman" w:hAnsi="Times New Roman" w:cs="Times New Roman"/>
                <w:sz w:val="24"/>
                <w:szCs w:val="24"/>
                <w:lang w:eastAsia="ru-RU"/>
              </w:rPr>
            </w:pPr>
          </w:p>
          <w:p w:rsidR="0062387A" w:rsidRPr="00D423B2" w:rsidRDefault="00162824" w:rsidP="009770F0">
            <w:pPr>
              <w:ind w:firstLine="54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0D364856" wp14:editId="7681D605">
                  <wp:extent cx="2390775" cy="1085850"/>
                  <wp:effectExtent l="0" t="0" r="952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16908" cy="1097719"/>
                          </a:xfrm>
                          <a:prstGeom prst="rect">
                            <a:avLst/>
                          </a:prstGeom>
                          <a:noFill/>
                        </pic:spPr>
                      </pic:pic>
                    </a:graphicData>
                  </a:graphic>
                </wp:inline>
              </w:drawing>
            </w:r>
          </w:p>
          <w:p w:rsidR="0062387A" w:rsidRPr="00D423B2" w:rsidRDefault="0062387A" w:rsidP="009770F0">
            <w:pPr>
              <w:ind w:firstLine="540"/>
              <w:jc w:val="both"/>
              <w:rPr>
                <w:rFonts w:ascii="Times New Roman" w:eastAsia="Times New Roman" w:hAnsi="Times New Roman" w:cs="Times New Roman"/>
                <w:sz w:val="24"/>
                <w:szCs w:val="24"/>
                <w:lang w:eastAsia="ru-RU"/>
              </w:rPr>
            </w:pPr>
          </w:p>
          <w:p w:rsidR="00162824" w:rsidRPr="00162824" w:rsidRDefault="00162824" w:rsidP="00162824">
            <w:pPr>
              <w:jc w:val="center"/>
              <w:rPr>
                <w:rFonts w:ascii="Times New Roman" w:eastAsia="Times New Roman" w:hAnsi="Times New Roman" w:cs="Times New Roman"/>
                <w:i/>
                <w:sz w:val="16"/>
                <w:szCs w:val="16"/>
                <w:lang w:eastAsia="ru-RU"/>
              </w:rPr>
            </w:pPr>
            <w:r w:rsidRPr="00162824">
              <w:rPr>
                <w:rFonts w:ascii="Times New Roman" w:eastAsia="Times New Roman" w:hAnsi="Times New Roman" w:cs="Times New Roman"/>
                <w:sz w:val="16"/>
                <w:szCs w:val="16"/>
                <w:lang w:eastAsia="ru-RU"/>
              </w:rPr>
              <w:t>Рис. 18. Диаграмма потребления компримированного природного газа в Республике Татарстан</w:t>
            </w:r>
          </w:p>
          <w:p w:rsidR="009770F0" w:rsidRPr="00D423B2" w:rsidRDefault="009770F0" w:rsidP="003A2879">
            <w:pPr>
              <w:jc w:val="center"/>
              <w:rPr>
                <w:rFonts w:ascii="Times New Roman" w:hAnsi="Times New Roman" w:cs="Times New Roman"/>
                <w:sz w:val="24"/>
                <w:szCs w:val="24"/>
              </w:rPr>
            </w:pP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С целью развития рынка газомоторного топлива ООО «Газпром газомоторное топливо» совместно с Правительством Республики Татарстан осуществляет: развитие газозаправочной инфраструктуры, бесперебойную круглосуточную заправку газомоторного автотранспорта и передвижных автомобильных газовых заправщиков на действующих АГНКС собственной эксплуатации, взаимодействие с пунктами по переоборудованию и техническому обслуживанию газомоторного автомобильного транспорта, разработку и внедрение стимулирующих маркетинговых программ для юридических и физических лиц при переводе автомобильного транспорта на использование природного газа в качестве моторного топлива, популяризацию природного газа как вида топлива среди населения и предприятий через средства массовой информации, путем проведения семинаров и презентаций для потенциальных потребителей, организацией маркетинговых акций.</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Полная газификация Республики Татарстан позволяет разместить АГНКС в каждом населенном пункте при условии соответствия земельных участков требованиям для размещения АГНКС, обеспечив тем самым автовладельцев экологически чистым и экономически выгодным моторным топливом – КПГ.</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Опыт эксплуатации и уровень загрузки АГНКС, построенных на территории Республики Татарстан в 2016 году, показали, что наиболее актуальным строительство АГНКС в настоящее время является в городах с большой численностью населения, развитой дорожно-транспортной сетью и наличием крупных якорных потребителей в виде автотранспортных предприятий, осуществляющих пассажирские перевозки, и предприятий дорожно-коммунальных служб.</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18 сентября 2018 года утверждена государственная программа «Строительство автомобильных газонаполнительных компрессорных станций на территории Республики Татарстан на 2019 – 2021 годы», в рамках которой до 2021 года планируется строительство и ввод в эксплуатацию не менее 30 АГНКС и приобретение и ввод в эксплуатацию не менее 21 ПАГЗа.</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В рамках выполнения государственной программы Республики Татарстан «Развитие рынка газомоторного топлива в Республике Татарстан на 2013 – 2023 годы» осуществляется поддержка проектов переоборудования техники для работы на КПГ путем субсидирования части затрат пункта переоборудования при переоборудовании транспортных средств в соответствии с порядком, утвержденным постановлением Кабинета Министров Республики Татарстан от 12 февраля</w:t>
            </w:r>
            <w:r w:rsidRPr="007B191B">
              <w:rPr>
                <w:rFonts w:ascii="Times New Roman" w:eastAsia="Times New Roman" w:hAnsi="Times New Roman" w:cs="Times New Roman"/>
                <w:sz w:val="24"/>
                <w:szCs w:val="24"/>
                <w:lang w:eastAsia="ru-RU"/>
              </w:rPr>
              <w:br/>
              <w:t>2016 года № 90 «</w:t>
            </w:r>
            <w:r w:rsidRPr="007B191B">
              <w:rPr>
                <w:rFonts w:ascii="Times New Roman" w:eastAsia="Calibri" w:hAnsi="Times New Roman" w:cs="Times New Roman"/>
                <w:sz w:val="24"/>
                <w:szCs w:val="24"/>
                <w:lang w:eastAsia="ru-RU"/>
              </w:rPr>
              <w:t>Об утверждении Порядка предоставления субсидий из бюджета Республики Татарстан на возмещение недополученных доходов при переводе транспортных средств на газомоторное топливо (метан)»</w:t>
            </w:r>
            <w:r w:rsidRPr="007B191B">
              <w:rPr>
                <w:rFonts w:ascii="Times New Roman" w:eastAsia="Times New Roman" w:hAnsi="Times New Roman" w:cs="Times New Roman"/>
                <w:sz w:val="24"/>
                <w:szCs w:val="24"/>
                <w:lang w:eastAsia="ru-RU"/>
              </w:rPr>
              <w:t>. Размер субсидии составляет до 30 процентов от номинальной стоимости переоборудования.</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Меры по стимулированию автовладельцев при переоборудовании транспортных средств на КПГ предлагаются и ООО «Газпром газомоторное топливо». По одной из маркетинговых программ за каждое переоборудованное на природный газ транспортное средство компания предоставляет владельцам топливную карту, обеспечивающую скидку 50 процентов на КПГ, исходя из лимита 25 000 – 35 000 бонусов (рублей) для физических лиц и 3 000 – 4 000 кубических метров газа (метана) для юридических лиц и индивидуальных предпринимателей.</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 xml:space="preserve">В республике работу по переоборудованию автомобилей на КПГ проводят </w:t>
            </w:r>
            <w:r w:rsidRPr="007B191B">
              <w:rPr>
                <w:rFonts w:ascii="Times New Roman" w:eastAsia="Times New Roman" w:hAnsi="Times New Roman" w:cs="Times New Roman"/>
                <w:sz w:val="24"/>
                <w:szCs w:val="24"/>
                <w:lang w:eastAsia="ru-RU"/>
              </w:rPr>
              <w:br/>
              <w:t>13 аккредитованных пунктов переоборудования и технического обслуживания (ППТО) автомобилей (г. Казань, г. Набережные Челны, г. Нижнекамск, г. Бугульма, г. Азнакаево, г. Елабуга).</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В Республике Татарстан осуществляют техническую экспертизу установки газобаллонного оборудования (далее – ГБО) на транспортные средства две</w:t>
            </w:r>
            <w:r w:rsidRPr="007B191B">
              <w:rPr>
                <w:rFonts w:ascii="Times New Roman" w:eastAsia="Times New Roman" w:hAnsi="Times New Roman" w:cs="Times New Roman"/>
                <w:color w:val="FF0000"/>
                <w:sz w:val="24"/>
                <w:szCs w:val="24"/>
                <w:lang w:eastAsia="ru-RU"/>
              </w:rPr>
              <w:t xml:space="preserve"> </w:t>
            </w:r>
            <w:r w:rsidRPr="007B191B">
              <w:rPr>
                <w:rFonts w:ascii="Times New Roman" w:eastAsia="Times New Roman" w:hAnsi="Times New Roman" w:cs="Times New Roman"/>
                <w:sz w:val="24"/>
                <w:szCs w:val="24"/>
                <w:lang w:eastAsia="ru-RU"/>
              </w:rPr>
              <w:t xml:space="preserve">лаборатории, аккредитованные в Федеральном агентстве по аккредитации (ООО «Испытательная лаборатория-16» (г. Набережные Челны) и ООО «Испытательная лаборатория «Поволжье» (г. Казань) (Таттехконтроль)). </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Совместно с ГИБДД по Республике Татарстан для прохождения процедур переоборудования и легитимизации (регистрации) транспортных средств проведена следующая работа по оптимизации инструкций и регламентов:</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усовершенствован порядок процедуры проверки транспортных средств, переоборудованных до вступления в силу Технического регламента Таможенного союза;</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согласована возможность подачи документов по доверенности или агентскому договору без присутствия владельца транспортного средства;</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оптимизирован график приема граждан;</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сокращены сроки рассмотрения документов;</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передана функция права подписи заключений о соответствии требованиям безопасности на районный уровень (в территориальный орган ГИБДД).</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 xml:space="preserve">Изложенные и другие меры позволили разработать новый порядок оказания услуги по установке ГБО по принципу «одного окна». Это существенно сокращает как количество обращений автовладельцев (1 – 2 обращения) в уполномоченные организации, так и время прохождения процедуры по установке ГБО и регистрации транспортного средства до 2 – 3 дней. </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 xml:space="preserve">Реализация мероприятий, направленных на развитие рынка газомоторного топлива в Республике Татарстан, позволила достичь к 2019 году результата в </w:t>
            </w:r>
            <w:r w:rsidRPr="007B191B">
              <w:rPr>
                <w:rFonts w:ascii="Times New Roman" w:eastAsia="Times New Roman" w:hAnsi="Times New Roman" w:cs="Times New Roman"/>
                <w:sz w:val="24"/>
                <w:szCs w:val="24"/>
                <w:lang w:eastAsia="ru-RU"/>
              </w:rPr>
              <w:br/>
              <w:t>более 5 000 единиц автотранспортной техники, использующей в качестве моторного топлива природный газ.</w:t>
            </w:r>
          </w:p>
          <w:p w:rsidR="007B191B" w:rsidRPr="007B191B" w:rsidRDefault="007B191B" w:rsidP="007B191B">
            <w:pPr>
              <w:ind w:firstLine="709"/>
              <w:jc w:val="both"/>
              <w:rPr>
                <w:rFonts w:ascii="Times New Roman" w:eastAsia="Times New Roman" w:hAnsi="Times New Roman" w:cs="Times New Roman"/>
                <w:sz w:val="24"/>
                <w:szCs w:val="24"/>
                <w:lang w:eastAsia="ru-RU"/>
              </w:rPr>
            </w:pPr>
            <w:r w:rsidRPr="007B191B">
              <w:rPr>
                <w:rFonts w:ascii="Times New Roman" w:eastAsia="Times New Roman" w:hAnsi="Times New Roman" w:cs="Times New Roman"/>
                <w:sz w:val="24"/>
                <w:szCs w:val="24"/>
                <w:lang w:eastAsia="ru-RU"/>
              </w:rPr>
              <w:t xml:space="preserve">Республика Татарстан планирует и дальше планомерно развивать рынок газомоторного топлива. К 2030 году планируется достижение показателя </w:t>
            </w:r>
            <w:r w:rsidRPr="007B191B">
              <w:rPr>
                <w:rFonts w:ascii="Times New Roman" w:eastAsia="Times New Roman" w:hAnsi="Times New Roman" w:cs="Times New Roman"/>
                <w:sz w:val="24"/>
                <w:szCs w:val="24"/>
                <w:lang w:eastAsia="ru-RU"/>
              </w:rPr>
              <w:br/>
              <w:t>в 22 600 единиц автотранспортной техники, использующей природный газ в качестве моторного топлива.</w:t>
            </w:r>
          </w:p>
          <w:p w:rsidR="00FD39C7" w:rsidRPr="00D423B2" w:rsidRDefault="00FD39C7" w:rsidP="00F510C1">
            <w:pPr>
              <w:ind w:firstLine="709"/>
              <w:jc w:val="both"/>
              <w:rPr>
                <w:rFonts w:ascii="Times New Roman" w:eastAsia="Times New Roman" w:hAnsi="Times New Roman" w:cs="Times New Roman"/>
                <w:sz w:val="24"/>
                <w:szCs w:val="24"/>
                <w:lang w:eastAsia="ru-RU"/>
              </w:rPr>
            </w:pPr>
          </w:p>
          <w:p w:rsidR="00FD2F6E" w:rsidRPr="00D423B2" w:rsidRDefault="00FD39C7" w:rsidP="003A2879">
            <w:pPr>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327D2B39" wp14:editId="06F000DA">
                  <wp:extent cx="2889885" cy="1536065"/>
                  <wp:effectExtent l="0" t="0" r="5715" b="698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89885" cy="1536065"/>
                          </a:xfrm>
                          <a:prstGeom prst="rect">
                            <a:avLst/>
                          </a:prstGeom>
                          <a:noFill/>
                        </pic:spPr>
                      </pic:pic>
                    </a:graphicData>
                  </a:graphic>
                </wp:inline>
              </w:drawing>
            </w:r>
          </w:p>
          <w:p w:rsidR="00FD2F6E" w:rsidRPr="00D423B2" w:rsidRDefault="00FD2F6E" w:rsidP="00FD2F6E">
            <w:pPr>
              <w:rPr>
                <w:rFonts w:ascii="Times New Roman" w:hAnsi="Times New Roman" w:cs="Times New Roman"/>
                <w:sz w:val="24"/>
                <w:szCs w:val="24"/>
              </w:rPr>
            </w:pPr>
          </w:p>
          <w:p w:rsidR="004B2554" w:rsidRPr="004B2554" w:rsidRDefault="00FD2F6E" w:rsidP="004B2554">
            <w:pPr>
              <w:jc w:val="center"/>
              <w:rPr>
                <w:rFonts w:ascii="Times New Roman" w:eastAsia="Times New Roman" w:hAnsi="Times New Roman" w:cs="Times New Roman"/>
                <w:sz w:val="16"/>
                <w:szCs w:val="16"/>
                <w:lang w:eastAsia="ru-RU"/>
              </w:rPr>
            </w:pPr>
            <w:r w:rsidRPr="00D423B2">
              <w:rPr>
                <w:rFonts w:ascii="Times New Roman" w:hAnsi="Times New Roman" w:cs="Times New Roman"/>
                <w:sz w:val="24"/>
                <w:szCs w:val="24"/>
              </w:rPr>
              <w:tab/>
            </w:r>
            <w:r w:rsidR="004B2554" w:rsidRPr="004B2554">
              <w:rPr>
                <w:rFonts w:ascii="Times New Roman" w:eastAsia="Times New Roman" w:hAnsi="Times New Roman" w:cs="Times New Roman"/>
                <w:sz w:val="16"/>
                <w:szCs w:val="16"/>
                <w:lang w:eastAsia="ru-RU"/>
              </w:rPr>
              <w:t>Рис. 19. Диаграмма по приобретению и переоборудованию техники на компримированный природный газ, единиц техники</w:t>
            </w:r>
          </w:p>
          <w:p w:rsidR="00FD2F6E" w:rsidRPr="00D423B2" w:rsidRDefault="00FD2F6E" w:rsidP="00FD2F6E">
            <w:pPr>
              <w:jc w:val="center"/>
              <w:rPr>
                <w:rFonts w:ascii="Times New Roman" w:eastAsia="Times New Roman" w:hAnsi="Times New Roman" w:cs="Times New Roman"/>
                <w:sz w:val="16"/>
                <w:szCs w:val="16"/>
                <w:lang w:eastAsia="ru-RU"/>
              </w:rPr>
            </w:pPr>
          </w:p>
          <w:p w:rsidR="0063099B" w:rsidRPr="0063099B" w:rsidRDefault="0063099B" w:rsidP="0063099B">
            <w:pPr>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           </w:t>
            </w:r>
            <w:r w:rsidRPr="0063099B">
              <w:rPr>
                <w:rFonts w:ascii="Times New Roman" w:eastAsia="Times New Roman" w:hAnsi="Times New Roman" w:cs="Times New Roman"/>
                <w:sz w:val="24"/>
                <w:szCs w:val="24"/>
                <w:lang w:eastAsia="ru-RU"/>
              </w:rPr>
              <w:t>Широкое применение природного газа в качестве моторного топлива приведет к снижению себестоимости автомобильных перевозок и, следовательно, будет способствовать ускорению экономического развития республики и России в целом.</w:t>
            </w:r>
          </w:p>
          <w:p w:rsidR="00FD2F6E" w:rsidRPr="00D423B2" w:rsidRDefault="00FD2F6E" w:rsidP="00FD2F6E">
            <w:pPr>
              <w:ind w:firstLine="709"/>
              <w:jc w:val="both"/>
              <w:rPr>
                <w:rFonts w:ascii="Times New Roman" w:eastAsia="Times New Roman" w:hAnsi="Times New Roman" w:cs="Times New Roman"/>
                <w:sz w:val="24"/>
                <w:szCs w:val="24"/>
                <w:lang w:eastAsia="ru-RU"/>
              </w:rPr>
            </w:pPr>
          </w:p>
          <w:p w:rsidR="00FD2F6E" w:rsidRPr="00D423B2" w:rsidRDefault="00FD2F6E" w:rsidP="00FD2F6E">
            <w:pPr>
              <w:ind w:firstLine="708"/>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3.7.3.1. Развитие рынка сжиженного природного газа в качестве газомоторного топлива в Республике Татарстан</w:t>
            </w:r>
          </w:p>
          <w:p w:rsidR="00FD2F6E" w:rsidRPr="00D423B2" w:rsidRDefault="00FD2F6E" w:rsidP="00FD2F6E">
            <w:pPr>
              <w:ind w:firstLine="708"/>
              <w:jc w:val="both"/>
              <w:rPr>
                <w:rFonts w:ascii="Times New Roman" w:eastAsia="Times New Roman" w:hAnsi="Times New Roman" w:cs="Times New Roman"/>
                <w:sz w:val="24"/>
                <w:szCs w:val="24"/>
                <w:lang w:eastAsia="ru-RU"/>
              </w:rPr>
            </w:pP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Использование сжиженного природного газа (далее – СПГ) в качестве газомоторного топлива на транспорте – стратегически важное направление развития нефтегазохимического комплекса Российской Федерации и Республики Татарстан.</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Природный газ – самое дешевое моторное топливо из всех имеющихся на рынке. При условно равном расходе на 100 км пути природный газ (метан) при текущих розничных ценах обходится в 1,5 – 2,5 раза дешевле дизельного топлива, имеет наиболее стабильный состав (95 – 98 процентов метана), не имеет цвета, запаха, химически не активен, не токсичен.</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Мировой рынок СПГ в отличие от объемов добычи нефти стремительно развивается. Импорт энергоносителя за 2017 год вырос на 11 процентов по сравнению с 2016 годом. Потребление СПГ за тот же период увеличилось в основном за счет азиатских государств на 29 млн тонн и составило 293 млн тонн. Основные преимущества СПГ:</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значительно уменьшается объем хранимого газа в топливном баке вследствие его большей плотности (0,14 кг/л и 0,42 кг/л), что позволяет увеличить запас хода автомобиля при том же объеме топливного бака;</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 xml:space="preserve">повышается безопасность хранения, связанная с уменьшением давления </w:t>
            </w:r>
            <w:r w:rsidRPr="00B87375">
              <w:rPr>
                <w:rFonts w:ascii="Times New Roman" w:eastAsia="Times New Roman" w:hAnsi="Times New Roman" w:cs="Times New Roman"/>
                <w:bCs/>
                <w:iCs/>
                <w:sz w:val="24"/>
                <w:szCs w:val="24"/>
                <w:lang w:eastAsia="ru-RU"/>
              </w:rPr>
              <w:br/>
              <w:t>с 20 МПа до 0,5 МПа;</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 xml:space="preserve">уменьшается вероятность утечек, связанная с уменьшением давления </w:t>
            </w:r>
            <w:r w:rsidRPr="00B87375">
              <w:rPr>
                <w:rFonts w:ascii="Times New Roman" w:eastAsia="Times New Roman" w:hAnsi="Times New Roman" w:cs="Times New Roman"/>
                <w:bCs/>
                <w:iCs/>
                <w:sz w:val="24"/>
                <w:szCs w:val="24"/>
                <w:lang w:eastAsia="ru-RU"/>
              </w:rPr>
              <w:br/>
              <w:t>с 20 МПа до 0,5 МПа, упрощается процесс редуцирования газа;</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на 35 – 40 процентов уменьшается износ двигателя;</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обеспечивается соответствие двигателей транспортных средств, работающих на СПГ, высочайшим экологическим стандартам Евро-5 и Евро-6;</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при использовании СПГ на 30–50 процентов по сравнению с традиционными видами топлива снижаются топливные расходы, что имеет важное социально-экономическое значение для предприятий и организаций.</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 xml:space="preserve">Ключевыми потребителями СПГ в качестве моторного топлива в ближайшей перспективе в Российской Федерации станут: магистральный, железнодорожный, водный транспорт, сельскохозяйственная и карьерная техника, население удаленных и труднодоступных территорий. </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 xml:space="preserve">Объем потребления СПГ на территории Российской Федерации к 2030 году, по прогнозам Министерства энергетики Российской Федерации, на магистральном транспорте составит 33 процента от общего объема потребления СПГ, на водном транспорте – 27 процентов, при использовании карьерной техники – 23 процента, </w:t>
            </w:r>
            <w:r w:rsidRPr="00B87375">
              <w:rPr>
                <w:rFonts w:ascii="Times New Roman" w:eastAsia="Times New Roman" w:hAnsi="Times New Roman" w:cs="Times New Roman"/>
                <w:bCs/>
                <w:iCs/>
                <w:sz w:val="24"/>
                <w:szCs w:val="24"/>
                <w:lang w:eastAsia="ru-RU"/>
              </w:rPr>
              <w:br/>
              <w:t>на железнодорожном транспорте – 9 процентов, при использовании сельскохозяйственной техники – 8 процентов.</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Для широкого внедрения СПГ необходимо развивать инфраструктуру по нескольким направлениям:</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в краткосрочной перспективе: использование СПГ для заправки автотранспорта и водного транспорта, организация универсальных заправочных станций, позволяющих заправляться КПГ и СПГ. Охват нескольких направлений обеспечит стабильную работу производителей СПГ, реализацию производимого СПГ и быструю окупаемость проекта;</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в долгосрочной перспективе: использование СПГ для заправки железнодорожного транспорта, поставка СПГ промышленности, коммунальному хозяйству.</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 xml:space="preserve">В настоящее время в Республике Татарстан разработан проект государственной программы Республики Татарстан «Развитие рынка сжиженного природного газа в качестве газомоторного топлива в Республике Татарстан </w:t>
            </w:r>
            <w:r w:rsidRPr="00B87375">
              <w:rPr>
                <w:rFonts w:ascii="Times New Roman" w:eastAsia="Times New Roman" w:hAnsi="Times New Roman" w:cs="Times New Roman"/>
                <w:bCs/>
                <w:iCs/>
                <w:sz w:val="24"/>
                <w:szCs w:val="24"/>
                <w:lang w:eastAsia="ru-RU"/>
              </w:rPr>
              <w:br/>
              <w:t xml:space="preserve">на 2019 – 2023 годы». </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В рамках реализации данной государственной программы планируется реализация следующих проектов:</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инвестиционные проекты «Строительство комплекса по сжижению природного газа в Республике Татарстан» на площадке Индустриального парка «Чистополь» и «Строительство сети криогенных автозаправочных станций в Республике Татарстан», планируемые в рамках реализации Соглашения между Правительством Республики Татарстан и ПАО «Газпром»;</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проект «Строительство комплекса по сжижению природного газа производительностью 6 тонн в час (КСПГ-6)» на территории Тюлячинского района Республики Татарстан, планируемый к реализации ООО «Топгаз»;</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СПГ-модуля средней производительностью 300 – 600 кг/час на территории действующей АГНКС-1 в городе Набережные Челны, планируемый к размещению филиалом ООО «Газпром газомоторное топливо» г. Казань в период до 2023 года.</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ООО «РариТЭК» совместно с Минским моторным заводом ведет работы по разработке двигателя для тракторов на СПГ. В течение января-мая 2018 года прототип двигателя проходил испытания в США. В мае 2018 г. один двигатель был смонтирован на шасси трактора «МТЗ 1221.2», который был в пилотном режиме испытан в одном из сельхозпредприятий Менделеевского района. В настоящее время по результатам испытаний модель дорабатывается.</w:t>
            </w:r>
          </w:p>
          <w:p w:rsidR="00B87375" w:rsidRPr="00B87375" w:rsidRDefault="00B87375" w:rsidP="00B87375">
            <w:pPr>
              <w:ind w:firstLine="708"/>
              <w:jc w:val="both"/>
              <w:rPr>
                <w:rFonts w:ascii="Times New Roman" w:eastAsia="Times New Roman" w:hAnsi="Times New Roman" w:cs="Times New Roman"/>
                <w:bCs/>
                <w:iCs/>
                <w:sz w:val="24"/>
                <w:szCs w:val="24"/>
                <w:lang w:eastAsia="ru-RU"/>
              </w:rPr>
            </w:pPr>
            <w:r w:rsidRPr="00B87375">
              <w:rPr>
                <w:rFonts w:ascii="Times New Roman" w:eastAsia="Times New Roman" w:hAnsi="Times New Roman" w:cs="Times New Roman"/>
                <w:bCs/>
                <w:iCs/>
                <w:sz w:val="24"/>
                <w:szCs w:val="24"/>
                <w:lang w:eastAsia="ru-RU"/>
              </w:rPr>
              <w:t>Объем потребления природного газа населением, промышленными предприятиями, объектами энергетики и жилищно-коммунального хозяйства в перспективе до 2030 года приведены в таблице 14.</w:t>
            </w:r>
          </w:p>
          <w:p w:rsidR="00704646" w:rsidRPr="00D423B2" w:rsidRDefault="00704646" w:rsidP="00704646">
            <w:pPr>
              <w:ind w:firstLine="8789"/>
              <w:jc w:val="right"/>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w:t>
            </w:r>
            <w:r w:rsidR="007A7BB1">
              <w:rPr>
                <w:rFonts w:ascii="Times New Roman" w:eastAsia="Times New Roman" w:hAnsi="Times New Roman" w:cs="Times New Roman"/>
                <w:sz w:val="24"/>
                <w:szCs w:val="24"/>
                <w:lang w:eastAsia="ru-RU"/>
              </w:rPr>
              <w:t xml:space="preserve">Таблица </w:t>
            </w:r>
            <w:r w:rsidRPr="00D423B2">
              <w:rPr>
                <w:rFonts w:ascii="Times New Roman" w:eastAsia="Times New Roman" w:hAnsi="Times New Roman" w:cs="Times New Roman"/>
                <w:sz w:val="24"/>
                <w:szCs w:val="24"/>
                <w:lang w:eastAsia="ru-RU"/>
              </w:rPr>
              <w:t>14</w:t>
            </w:r>
          </w:p>
          <w:p w:rsidR="007A7BB1" w:rsidRDefault="007A7BB1" w:rsidP="007A7BB1">
            <w:pPr>
              <w:ind w:firstLine="8789"/>
              <w:jc w:val="center"/>
              <w:rPr>
                <w:rFonts w:ascii="Times New Roman" w:eastAsia="Times New Roman" w:hAnsi="Times New Roman" w:cs="Times New Roman"/>
                <w:bCs/>
                <w:iCs/>
                <w:sz w:val="24"/>
                <w:szCs w:val="24"/>
                <w:lang w:eastAsia="ru-RU"/>
              </w:rPr>
            </w:pPr>
            <w:r w:rsidRPr="007A7BB1">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О</w:t>
            </w:r>
            <w:r w:rsidRPr="007A7BB1">
              <w:rPr>
                <w:rFonts w:ascii="Times New Roman" w:eastAsia="Times New Roman" w:hAnsi="Times New Roman" w:cs="Times New Roman"/>
                <w:sz w:val="24"/>
                <w:szCs w:val="24"/>
                <w:lang w:eastAsia="ru-RU"/>
              </w:rPr>
              <w:t xml:space="preserve">бъем потребления природного газа населением, промышленными предприятиями, объектами энергетики и жилищно-коммунального хозяйства в перспективе до 2030 года </w:t>
            </w:r>
            <w:r w:rsidRPr="007A7BB1">
              <w:rPr>
                <w:rFonts w:ascii="Times New Roman" w:eastAsia="Times New Roman" w:hAnsi="Times New Roman" w:cs="Times New Roman"/>
                <w:bCs/>
                <w:iCs/>
                <w:sz w:val="24"/>
                <w:szCs w:val="24"/>
                <w:lang w:eastAsia="ru-RU"/>
              </w:rPr>
              <w:t>(по предварительной оценке Министерства промышленности</w:t>
            </w:r>
            <w:r w:rsidRPr="007A7BB1">
              <w:rPr>
                <w:rFonts w:ascii="Times New Roman" w:eastAsia="Times New Roman" w:hAnsi="Times New Roman" w:cs="Times New Roman"/>
                <w:sz w:val="24"/>
                <w:szCs w:val="24"/>
                <w:lang w:eastAsia="ru-RU"/>
              </w:rPr>
              <w:t xml:space="preserve"> </w:t>
            </w:r>
            <w:r w:rsidRPr="007A7BB1">
              <w:rPr>
                <w:rFonts w:ascii="Times New Roman" w:eastAsia="Times New Roman" w:hAnsi="Times New Roman" w:cs="Times New Roman"/>
                <w:bCs/>
                <w:iCs/>
                <w:sz w:val="24"/>
                <w:szCs w:val="24"/>
                <w:lang w:eastAsia="ru-RU"/>
              </w:rPr>
              <w:t>и торговли Республики Татарстан)</w:t>
            </w:r>
          </w:p>
          <w:p w:rsidR="008E1A22" w:rsidRPr="007A7BB1" w:rsidRDefault="008E1A22" w:rsidP="007A7BB1">
            <w:pPr>
              <w:ind w:firstLine="8789"/>
              <w:jc w:val="center"/>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1"/>
              <w:gridCol w:w="609"/>
              <w:gridCol w:w="610"/>
              <w:gridCol w:w="609"/>
              <w:gridCol w:w="610"/>
            </w:tblGrid>
            <w:tr w:rsidR="008E1A22" w:rsidRPr="008E1A22" w:rsidTr="00364A79">
              <w:trPr>
                <w:trHeight w:val="20"/>
              </w:trPr>
              <w:tc>
                <w:tcPr>
                  <w:tcW w:w="2569" w:type="pct"/>
                  <w:shd w:val="clear" w:color="auto" w:fill="auto"/>
                </w:tcPr>
                <w:p w:rsidR="008E1A22" w:rsidRPr="008E1A22" w:rsidRDefault="008E1A22" w:rsidP="008E1A22">
                  <w:pPr>
                    <w:spacing w:before="60" w:after="60"/>
                    <w:jc w:val="both"/>
                    <w:rPr>
                      <w:rFonts w:ascii="Times New Roman" w:hAnsi="Times New Roman" w:cs="Times New Roman"/>
                      <w:bCs/>
                      <w:iCs/>
                      <w:sz w:val="16"/>
                      <w:szCs w:val="16"/>
                    </w:rPr>
                  </w:pPr>
                  <w:r w:rsidRPr="008E1A22">
                    <w:rPr>
                      <w:rFonts w:ascii="Times New Roman" w:hAnsi="Times New Roman" w:cs="Times New Roman"/>
                      <w:bCs/>
                      <w:iCs/>
                      <w:sz w:val="16"/>
                      <w:szCs w:val="16"/>
                    </w:rPr>
                    <w:t>Наименование показателя / годы</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2018</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2020</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2025</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2030</w:t>
                  </w:r>
                </w:p>
              </w:tc>
            </w:tr>
            <w:tr w:rsidR="008E1A22" w:rsidRPr="008E1A22" w:rsidTr="00364A79">
              <w:trPr>
                <w:trHeight w:val="20"/>
              </w:trPr>
              <w:tc>
                <w:tcPr>
                  <w:tcW w:w="2569" w:type="pct"/>
                  <w:shd w:val="clear" w:color="auto" w:fill="auto"/>
                </w:tcPr>
                <w:p w:rsidR="008E1A22" w:rsidRPr="008E1A22" w:rsidRDefault="008E1A22" w:rsidP="008E1A22">
                  <w:pPr>
                    <w:spacing w:before="60" w:after="60"/>
                    <w:jc w:val="both"/>
                    <w:rPr>
                      <w:rFonts w:ascii="Times New Roman" w:hAnsi="Times New Roman" w:cs="Times New Roman"/>
                      <w:b/>
                      <w:bCs/>
                      <w:iCs/>
                      <w:sz w:val="16"/>
                      <w:szCs w:val="16"/>
                    </w:rPr>
                  </w:pPr>
                  <w:r w:rsidRPr="008E1A22">
                    <w:rPr>
                      <w:rFonts w:ascii="Times New Roman" w:hAnsi="Times New Roman" w:cs="Times New Roman"/>
                      <w:b/>
                      <w:sz w:val="16"/>
                      <w:szCs w:val="16"/>
                    </w:rPr>
                    <w:t>Потребления природного газа населением, промышленными предприятиями, объектами энергетики и жилищно-коммунального хозяйства,</w:t>
                  </w:r>
                  <w:r w:rsidRPr="008E1A22">
                    <w:rPr>
                      <w:rFonts w:ascii="Times New Roman" w:hAnsi="Times New Roman" w:cs="Times New Roman"/>
                      <w:b/>
                      <w:bCs/>
                      <w:iCs/>
                      <w:sz w:val="16"/>
                      <w:szCs w:val="16"/>
                    </w:rPr>
                    <w:t xml:space="preserve"> млн куб.м, в том числе:</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18 083</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19 500</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21 063</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22 602</w:t>
                  </w:r>
                </w:p>
              </w:tc>
            </w:tr>
            <w:tr w:rsidR="008E1A22" w:rsidRPr="008E1A22" w:rsidTr="00364A79">
              <w:trPr>
                <w:trHeight w:val="20"/>
              </w:trPr>
              <w:tc>
                <w:tcPr>
                  <w:tcW w:w="2569" w:type="pct"/>
                  <w:shd w:val="clear" w:color="auto" w:fill="auto"/>
                </w:tcPr>
                <w:p w:rsidR="008E1A22" w:rsidRPr="008E1A22" w:rsidRDefault="008E1A22" w:rsidP="008E1A22">
                  <w:pPr>
                    <w:spacing w:before="60" w:after="60"/>
                    <w:ind w:left="284"/>
                    <w:jc w:val="both"/>
                    <w:rPr>
                      <w:rFonts w:ascii="Times New Roman" w:hAnsi="Times New Roman" w:cs="Times New Roman"/>
                      <w:b/>
                      <w:bCs/>
                      <w:iCs/>
                      <w:sz w:val="16"/>
                      <w:szCs w:val="16"/>
                    </w:rPr>
                  </w:pPr>
                  <w:r w:rsidRPr="008E1A22">
                    <w:rPr>
                      <w:rFonts w:ascii="Times New Roman" w:hAnsi="Times New Roman" w:cs="Times New Roman"/>
                      <w:b/>
                      <w:bCs/>
                      <w:iCs/>
                      <w:sz w:val="16"/>
                      <w:szCs w:val="16"/>
                    </w:rPr>
                    <w:t>потребление природного газа в качестве газомоторного топлива, млн куб. м:</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35,750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70,755</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285,000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
                      <w:bCs/>
                      <w:iCs/>
                      <w:sz w:val="16"/>
                      <w:szCs w:val="16"/>
                    </w:rPr>
                  </w:pPr>
                  <w:r w:rsidRPr="008E1A22">
                    <w:rPr>
                      <w:rFonts w:ascii="Times New Roman" w:hAnsi="Times New Roman" w:cs="Times New Roman"/>
                      <w:b/>
                      <w:bCs/>
                      <w:iCs/>
                      <w:sz w:val="16"/>
                      <w:szCs w:val="16"/>
                    </w:rPr>
                    <w:t>335,000</w:t>
                  </w:r>
                </w:p>
              </w:tc>
            </w:tr>
            <w:tr w:rsidR="008E1A22" w:rsidRPr="008E1A22" w:rsidTr="00364A79">
              <w:trPr>
                <w:trHeight w:val="20"/>
              </w:trPr>
              <w:tc>
                <w:tcPr>
                  <w:tcW w:w="2569" w:type="pct"/>
                  <w:shd w:val="clear" w:color="auto" w:fill="auto"/>
                </w:tcPr>
                <w:p w:rsidR="008E1A22" w:rsidRPr="008E1A22" w:rsidRDefault="008E1A22" w:rsidP="008E1A22">
                  <w:pPr>
                    <w:spacing w:before="60" w:after="60"/>
                    <w:ind w:left="709"/>
                    <w:jc w:val="both"/>
                    <w:rPr>
                      <w:rFonts w:ascii="Times New Roman" w:hAnsi="Times New Roman" w:cs="Times New Roman"/>
                      <w:bCs/>
                      <w:iCs/>
                      <w:sz w:val="16"/>
                      <w:szCs w:val="16"/>
                    </w:rPr>
                  </w:pPr>
                  <w:r w:rsidRPr="008E1A22">
                    <w:rPr>
                      <w:rFonts w:ascii="Times New Roman" w:hAnsi="Times New Roman" w:cs="Times New Roman"/>
                      <w:bCs/>
                      <w:iCs/>
                      <w:sz w:val="16"/>
                      <w:szCs w:val="16"/>
                    </w:rPr>
                    <w:t>компримированного природного газа КПГ, млн куб. м</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35,750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60,000</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110,000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160,000</w:t>
                  </w:r>
                </w:p>
              </w:tc>
            </w:tr>
            <w:tr w:rsidR="008E1A22" w:rsidRPr="008E1A22" w:rsidTr="00364A79">
              <w:trPr>
                <w:trHeight w:val="20"/>
              </w:trPr>
              <w:tc>
                <w:tcPr>
                  <w:tcW w:w="2569" w:type="pct"/>
                  <w:shd w:val="clear" w:color="auto" w:fill="auto"/>
                </w:tcPr>
                <w:p w:rsidR="008E1A22" w:rsidRPr="008E1A22" w:rsidRDefault="008E1A22" w:rsidP="008E1A22">
                  <w:pPr>
                    <w:spacing w:before="60" w:after="60"/>
                    <w:ind w:left="709"/>
                    <w:jc w:val="both"/>
                    <w:rPr>
                      <w:rFonts w:ascii="Times New Roman" w:hAnsi="Times New Roman" w:cs="Times New Roman"/>
                      <w:bCs/>
                      <w:iCs/>
                      <w:sz w:val="16"/>
                      <w:szCs w:val="16"/>
                    </w:rPr>
                  </w:pPr>
                  <w:r w:rsidRPr="008E1A22">
                    <w:rPr>
                      <w:rFonts w:ascii="Times New Roman" w:hAnsi="Times New Roman" w:cs="Times New Roman"/>
                      <w:bCs/>
                      <w:iCs/>
                      <w:sz w:val="16"/>
                      <w:szCs w:val="16"/>
                    </w:rPr>
                    <w:t>на производство сжиженного природного газа, млн куб. м</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10,755</w:t>
                  </w:r>
                </w:p>
              </w:tc>
              <w:tc>
                <w:tcPr>
                  <w:tcW w:w="607"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175,000</w:t>
                  </w:r>
                </w:p>
              </w:tc>
              <w:tc>
                <w:tcPr>
                  <w:tcW w:w="608" w:type="pct"/>
                  <w:shd w:val="clear" w:color="auto" w:fill="auto"/>
                  <w:vAlign w:val="center"/>
                </w:tcPr>
                <w:p w:rsidR="008E1A22" w:rsidRPr="008E1A22" w:rsidRDefault="008E1A22" w:rsidP="008E1A22">
                  <w:pPr>
                    <w:spacing w:before="60" w:after="60"/>
                    <w:jc w:val="center"/>
                    <w:rPr>
                      <w:rFonts w:ascii="Times New Roman" w:hAnsi="Times New Roman" w:cs="Times New Roman"/>
                      <w:bCs/>
                      <w:iCs/>
                      <w:sz w:val="16"/>
                      <w:szCs w:val="16"/>
                    </w:rPr>
                  </w:pPr>
                  <w:r w:rsidRPr="008E1A22">
                    <w:rPr>
                      <w:rFonts w:ascii="Times New Roman" w:hAnsi="Times New Roman" w:cs="Times New Roman"/>
                      <w:bCs/>
                      <w:iCs/>
                      <w:sz w:val="16"/>
                      <w:szCs w:val="16"/>
                    </w:rPr>
                    <w:t>175,000</w:t>
                  </w:r>
                </w:p>
              </w:tc>
            </w:tr>
          </w:tbl>
          <w:p w:rsidR="00FD2F6E" w:rsidRPr="00D423B2" w:rsidRDefault="00FD2F6E" w:rsidP="00FD2F6E">
            <w:pPr>
              <w:tabs>
                <w:tab w:val="left" w:pos="3165"/>
              </w:tabs>
              <w:rPr>
                <w:rFonts w:ascii="Times New Roman" w:hAnsi="Times New Roman" w:cs="Times New Roman"/>
                <w:sz w:val="24"/>
                <w:szCs w:val="24"/>
              </w:rPr>
            </w:pPr>
          </w:p>
          <w:p w:rsidR="0062080B" w:rsidRPr="00D423B2" w:rsidRDefault="0062080B" w:rsidP="0062080B">
            <w:pPr>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3.7.4. Строительство подземного хранилища газа в Республике Татарстан</w:t>
            </w:r>
          </w:p>
          <w:p w:rsidR="0062080B" w:rsidRPr="00D423B2" w:rsidRDefault="0062080B" w:rsidP="0062080B">
            <w:pPr>
              <w:ind w:firstLine="709"/>
              <w:jc w:val="both"/>
              <w:rPr>
                <w:rFonts w:ascii="Times New Roman" w:eastAsia="Times New Roman" w:hAnsi="Times New Roman" w:cs="Times New Roman"/>
                <w:sz w:val="24"/>
                <w:szCs w:val="24"/>
                <w:lang w:eastAsia="ru-RU"/>
              </w:rPr>
            </w:pP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Подземные хранилища газа (далее – ПХГ) – неотъемлемая часть единой системы газоснабжения России. Они расположены в регионах основного потребления газа. Их использование позволяет регулировать сезонную неравномерность потребления газа, обеспечивать гибкость и надежность его поставок.</w:t>
            </w: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В отдельные периоды возможно возникновение ситуаций, связанных с недостатком природного газа. В первую очередь, дефицит газа возникает во время резкого падения температуры окружающей природной среды в течение отопительного периода. Чрезвычайные ситуации по газообеспечению могут возникнуть и при авариях на магистральных и распределительных газопроводах, расположенных как на территории Республики Татарстан, так и за ее пределами.</w:t>
            </w: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В соответствии с реализуемыми ПАО «Газпром» задачами развития газовой промышленности, направленными в том числе на стабильное, бесперебойное и экономически эффективное удовлетворение внутренних потребителей, начиная с 2005 года проводятся работы по созданию ПХГ на территории Республики Татарстан.</w:t>
            </w: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 xml:space="preserve">После проведения комплекса необходимых изыскательских и геологоразведочных работ для строительства ПХГ выбрана площадка в Алексеевском районе у границы с Чистопольским районом (Арбузовское ПХГ). Месторасположение ПХГ в географическом центре республики обеспечивает оптимальную логистику транспортировки газа от хранилища в сторону г. Казани, а также к потребителям стремительно развивающегося Нижнекамского промышленного узла, где сосредоточены гиганты нефтегазохимической </w:t>
            </w:r>
            <w:r w:rsidRPr="00C900C2">
              <w:rPr>
                <w:rFonts w:ascii="Times New Roman" w:eastAsia="Times New Roman" w:hAnsi="Times New Roman" w:cs="Times New Roman"/>
                <w:sz w:val="24"/>
                <w:szCs w:val="24"/>
                <w:lang w:eastAsia="ru-RU"/>
              </w:rPr>
              <w:br/>
              <w:t xml:space="preserve">отрасли –  ПАО «Нижнекамскнефтехим», АО «ТАИФ-НК», Комплекс «ТАНЕКО», </w:t>
            </w:r>
            <w:r w:rsidRPr="00C900C2">
              <w:rPr>
                <w:rFonts w:ascii="Times New Roman" w:eastAsia="Times New Roman" w:hAnsi="Times New Roman" w:cs="Times New Roman"/>
                <w:sz w:val="24"/>
                <w:szCs w:val="24"/>
                <w:lang w:eastAsia="ru-RU"/>
              </w:rPr>
              <w:br/>
              <w:t>ПАО «Нижнекамскшина» и другие.</w:t>
            </w: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 xml:space="preserve">Проект по строительству ПХГ в Республике Татарстан согласно Приказу </w:t>
            </w:r>
            <w:r w:rsidRPr="00C900C2">
              <w:rPr>
                <w:rFonts w:ascii="Times New Roman" w:eastAsia="Times New Roman" w:hAnsi="Times New Roman" w:cs="Times New Roman"/>
                <w:sz w:val="24"/>
                <w:szCs w:val="24"/>
                <w:lang w:eastAsia="ru-RU"/>
              </w:rPr>
              <w:br/>
              <w:t xml:space="preserve">«О развитии системы ПХГ на территории Российской Федерации на 2019 год и прогнозе до 2028 года» включен в план Мероприятий по строительству, реконструкции и вводу объектов системы подземного хранения газа и прилегающих участков газотранспортной системы на территории Российской Федерации </w:t>
            </w:r>
            <w:r w:rsidRPr="00C900C2">
              <w:rPr>
                <w:rFonts w:ascii="Times New Roman" w:eastAsia="Times New Roman" w:hAnsi="Times New Roman" w:cs="Times New Roman"/>
                <w:sz w:val="24"/>
                <w:szCs w:val="24"/>
                <w:lang w:eastAsia="ru-RU"/>
              </w:rPr>
              <w:br/>
              <w:t xml:space="preserve">на 2019 год с прогнозом до 2028 года. </w:t>
            </w:r>
          </w:p>
          <w:p w:rsidR="00C900C2" w:rsidRPr="00C900C2" w:rsidRDefault="00C900C2" w:rsidP="00C900C2">
            <w:pPr>
              <w:ind w:firstLine="709"/>
              <w:jc w:val="both"/>
              <w:rPr>
                <w:rFonts w:ascii="Times New Roman" w:eastAsia="Times New Roman" w:hAnsi="Times New Roman" w:cs="Times New Roman"/>
                <w:sz w:val="24"/>
                <w:szCs w:val="24"/>
                <w:lang w:eastAsia="ru-RU"/>
              </w:rPr>
            </w:pPr>
            <w:r w:rsidRPr="00C900C2">
              <w:rPr>
                <w:rFonts w:ascii="Times New Roman" w:eastAsia="Times New Roman" w:hAnsi="Times New Roman" w:cs="Times New Roman"/>
                <w:sz w:val="24"/>
                <w:szCs w:val="24"/>
                <w:lang w:eastAsia="ru-RU"/>
              </w:rPr>
              <w:t>Реализация проекта по строительству ПХГ на территории республики позволит регулировать сезонную неравномерность потребления газа, а также обеспечивать гибкость и надежность его поставок.</w:t>
            </w:r>
          </w:p>
          <w:p w:rsidR="00907425" w:rsidRPr="00D423B2" w:rsidRDefault="00907425" w:rsidP="003A226B">
            <w:pPr>
              <w:jc w:val="both"/>
              <w:rPr>
                <w:rFonts w:ascii="Times New Roman" w:eastAsia="Times New Roman" w:hAnsi="Times New Roman" w:cs="Times New Roman"/>
                <w:sz w:val="24"/>
                <w:szCs w:val="24"/>
                <w:lang w:eastAsia="ru-RU"/>
              </w:rPr>
            </w:pPr>
          </w:p>
          <w:p w:rsidR="003A226B" w:rsidRPr="003A226B" w:rsidRDefault="003A226B" w:rsidP="003A226B">
            <w:pPr>
              <w:ind w:firstLine="709"/>
              <w:jc w:val="both"/>
              <w:rPr>
                <w:rFonts w:ascii="Times New Roman" w:hAnsi="Times New Roman" w:cs="Times New Roman"/>
                <w:b/>
                <w:sz w:val="24"/>
                <w:szCs w:val="24"/>
              </w:rPr>
            </w:pPr>
            <w:r w:rsidRPr="003A226B">
              <w:rPr>
                <w:rFonts w:ascii="Times New Roman" w:hAnsi="Times New Roman" w:cs="Times New Roman"/>
                <w:b/>
                <w:sz w:val="24"/>
                <w:szCs w:val="24"/>
              </w:rPr>
              <w:t>4. Энергетическая отрасль Республики Татарстан</w:t>
            </w:r>
          </w:p>
          <w:p w:rsidR="00907425" w:rsidRPr="00D423B2" w:rsidRDefault="00907425" w:rsidP="00907425">
            <w:pPr>
              <w:ind w:firstLine="709"/>
              <w:jc w:val="both"/>
              <w:rPr>
                <w:rFonts w:ascii="Times New Roman" w:eastAsia="Times New Roman" w:hAnsi="Times New Roman" w:cs="Times New Roman"/>
                <w:b/>
                <w:sz w:val="24"/>
                <w:szCs w:val="24"/>
                <w:lang w:eastAsia="ru-RU"/>
              </w:rPr>
            </w:pPr>
          </w:p>
          <w:p w:rsidR="00907425" w:rsidRPr="00D423B2" w:rsidRDefault="00907425" w:rsidP="00907425">
            <w:pPr>
              <w:pStyle w:val="ConsPlusTitle"/>
              <w:jc w:val="center"/>
              <w:outlineLvl w:val="2"/>
              <w:rPr>
                <w:rFonts w:ascii="Times New Roman" w:hAnsi="Times New Roman" w:cs="Times New Roman"/>
                <w:sz w:val="24"/>
                <w:szCs w:val="24"/>
              </w:rPr>
            </w:pPr>
            <w:r w:rsidRPr="00D423B2">
              <w:rPr>
                <w:rFonts w:ascii="Times New Roman" w:hAnsi="Times New Roman" w:cs="Times New Roman"/>
                <w:sz w:val="24"/>
                <w:szCs w:val="24"/>
              </w:rPr>
              <w:t>4.1. Современное состояние энергетического комплекса Республики Татарстан</w:t>
            </w:r>
          </w:p>
          <w:p w:rsidR="00907425" w:rsidRPr="00D423B2" w:rsidRDefault="00907425" w:rsidP="00907425">
            <w:pPr>
              <w:ind w:firstLine="709"/>
              <w:jc w:val="both"/>
              <w:rPr>
                <w:rFonts w:ascii="Times New Roman" w:eastAsia="Times New Roman" w:hAnsi="Times New Roman" w:cs="Times New Roman"/>
                <w:b/>
                <w:sz w:val="24"/>
                <w:szCs w:val="24"/>
                <w:lang w:eastAsia="ru-RU"/>
              </w:rPr>
            </w:pP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Энергосистема Республики Татарстан граничит с энергетическими системами Самарской, Кировской, Ульяновской, Оренбургской областей и республик Марий Эл, Чувашской, Удмуртской, Башкортостан. Передача и распределение электроэнергии и мощности производится по линиям электропередачи напряжением 500, 220, 110, 35 кВ и ниже.</w:t>
            </w: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Энергосистема республики охватывает площадь 68 тыс. кв. км с населением 3,89 млн человек.</w:t>
            </w: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В энергосистеме Республики Татарстан в настоящее время функционируют три производителя электрической и тепловой энергии в режиме комбинированной выработки – АО «Татэнерго», ОАО «ТГК-16», ООО «Нижнекамская ТЭЦ».</w:t>
            </w: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Все три компании имеют статус субъекта оптового рынка электрической энергии и мощности (далее – ОРЭМ) и допуск к его торговой системе. Поэтому от технического состояния оборудования станций, соответствия их современным требованиям энергоэффективности зависят конкурентоспособность вырабатываемой энергии и востребованность на ОРЭМ и розничном рынке электрической энергии.</w:t>
            </w: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Установленная электрическая мощность объектов генерации на 1 января</w:t>
            </w:r>
            <w:r w:rsidRPr="00DE1ECC">
              <w:rPr>
                <w:rFonts w:ascii="Times New Roman" w:eastAsia="Times New Roman" w:hAnsi="Times New Roman" w:cs="Times New Roman"/>
                <w:sz w:val="24"/>
                <w:szCs w:val="24"/>
                <w:lang w:eastAsia="ru-RU"/>
              </w:rPr>
              <w:br/>
              <w:t xml:space="preserve">2019 года составляет 7 992,9 МВт. </w:t>
            </w:r>
          </w:p>
          <w:p w:rsidR="00DE1ECC" w:rsidRPr="00DE1ECC" w:rsidRDefault="00DE1ECC" w:rsidP="00DE1ECC">
            <w:pPr>
              <w:autoSpaceDE w:val="0"/>
              <w:autoSpaceDN w:val="0"/>
              <w:adjustRightInd w:val="0"/>
              <w:ind w:firstLine="709"/>
              <w:jc w:val="both"/>
              <w:rPr>
                <w:rFonts w:ascii="Times New Roman" w:eastAsia="Times New Roman" w:hAnsi="Times New Roman" w:cs="Times New Roman"/>
                <w:sz w:val="24"/>
                <w:szCs w:val="24"/>
                <w:lang w:eastAsia="ru-RU"/>
              </w:rPr>
            </w:pPr>
            <w:r w:rsidRPr="00DE1ECC">
              <w:rPr>
                <w:rFonts w:ascii="Times New Roman" w:eastAsia="Times New Roman" w:hAnsi="Times New Roman" w:cs="Times New Roman"/>
                <w:sz w:val="24"/>
                <w:szCs w:val="24"/>
                <w:lang w:eastAsia="ru-RU"/>
              </w:rPr>
              <w:t xml:space="preserve">Установленная электрическая мощность электрических станций оптового рынка электроэнергии и мощности энергосистемы Республики Татарстан составляет 7 759,3 МВт, тепловая мощность – 15 044 Гкал/час. Информация в разрезе компаний представлена в </w:t>
            </w:r>
            <w:hyperlink w:anchor="P1863" w:history="1">
              <w:r w:rsidRPr="00DE1ECC">
                <w:rPr>
                  <w:rStyle w:val="a9"/>
                  <w:rFonts w:ascii="Times New Roman" w:eastAsia="Times New Roman" w:hAnsi="Times New Roman" w:cs="Times New Roman"/>
                  <w:color w:val="000000" w:themeColor="text1"/>
                  <w:sz w:val="24"/>
                  <w:szCs w:val="24"/>
                  <w:u w:val="none"/>
                  <w:lang w:eastAsia="ru-RU"/>
                </w:rPr>
                <w:t>таблице</w:t>
              </w:r>
            </w:hyperlink>
            <w:r w:rsidRPr="00DE1ECC">
              <w:rPr>
                <w:rFonts w:ascii="Times New Roman" w:eastAsia="Times New Roman" w:hAnsi="Times New Roman" w:cs="Times New Roman"/>
                <w:color w:val="000000" w:themeColor="text1"/>
                <w:sz w:val="24"/>
                <w:szCs w:val="24"/>
                <w:lang w:eastAsia="ru-RU"/>
              </w:rPr>
              <w:t xml:space="preserve"> </w:t>
            </w:r>
            <w:r w:rsidRPr="00DE1ECC">
              <w:rPr>
                <w:rFonts w:ascii="Times New Roman" w:eastAsia="Times New Roman" w:hAnsi="Times New Roman" w:cs="Times New Roman"/>
                <w:sz w:val="24"/>
                <w:szCs w:val="24"/>
                <w:lang w:eastAsia="ru-RU"/>
              </w:rPr>
              <w:t>15.</w:t>
            </w:r>
          </w:p>
          <w:p w:rsidR="00497706" w:rsidRPr="00D423B2" w:rsidRDefault="00497706" w:rsidP="00907425">
            <w:pPr>
              <w:autoSpaceDE w:val="0"/>
              <w:autoSpaceDN w:val="0"/>
              <w:adjustRightInd w:val="0"/>
              <w:ind w:firstLine="709"/>
              <w:jc w:val="both"/>
              <w:rPr>
                <w:rFonts w:ascii="Times New Roman" w:eastAsia="Times New Roman" w:hAnsi="Times New Roman" w:cs="Times New Roman"/>
                <w:sz w:val="24"/>
                <w:szCs w:val="24"/>
                <w:lang w:eastAsia="ru-RU"/>
              </w:rPr>
            </w:pPr>
          </w:p>
          <w:p w:rsidR="00497706" w:rsidRPr="00D423B2" w:rsidRDefault="00FE2D86" w:rsidP="00497706">
            <w:pPr>
              <w:pStyle w:val="ConsPlusTitle"/>
              <w:jc w:val="right"/>
              <w:rPr>
                <w:rFonts w:ascii="Times New Roman" w:hAnsi="Times New Roman" w:cs="Times New Roman"/>
                <w:b w:val="0"/>
                <w:sz w:val="24"/>
                <w:szCs w:val="24"/>
              </w:rPr>
            </w:pPr>
            <w:r>
              <w:rPr>
                <w:rFonts w:ascii="Times New Roman" w:hAnsi="Times New Roman" w:cs="Times New Roman"/>
                <w:b w:val="0"/>
                <w:sz w:val="24"/>
                <w:szCs w:val="24"/>
              </w:rPr>
              <w:t xml:space="preserve">Таблица </w:t>
            </w:r>
            <w:r w:rsidR="00497706" w:rsidRPr="00D423B2">
              <w:rPr>
                <w:rFonts w:ascii="Times New Roman" w:hAnsi="Times New Roman" w:cs="Times New Roman"/>
                <w:b w:val="0"/>
                <w:sz w:val="24"/>
                <w:szCs w:val="24"/>
              </w:rPr>
              <w:t>15</w:t>
            </w:r>
          </w:p>
          <w:p w:rsidR="00497706" w:rsidRPr="00D423B2" w:rsidRDefault="00497706" w:rsidP="00497706">
            <w:pPr>
              <w:pStyle w:val="ConsPlusTitle"/>
              <w:jc w:val="center"/>
              <w:rPr>
                <w:rFonts w:ascii="Times New Roman" w:hAnsi="Times New Roman" w:cs="Times New Roman"/>
                <w:b w:val="0"/>
                <w:sz w:val="24"/>
                <w:szCs w:val="24"/>
              </w:rPr>
            </w:pPr>
          </w:p>
          <w:p w:rsidR="00F44B9B" w:rsidRPr="00F44B9B" w:rsidRDefault="00F44B9B" w:rsidP="00023E40">
            <w:pPr>
              <w:pStyle w:val="ConsPlusTitle"/>
              <w:jc w:val="center"/>
              <w:rPr>
                <w:rFonts w:ascii="Times New Roman" w:hAnsi="Times New Roman" w:cs="Times New Roman"/>
                <w:b w:val="0"/>
                <w:sz w:val="24"/>
                <w:szCs w:val="24"/>
              </w:rPr>
            </w:pPr>
            <w:r w:rsidRPr="00F44B9B">
              <w:rPr>
                <w:rFonts w:ascii="Times New Roman" w:hAnsi="Times New Roman" w:cs="Times New Roman"/>
                <w:b w:val="0"/>
                <w:sz w:val="24"/>
                <w:szCs w:val="24"/>
              </w:rPr>
              <w:t>Установленная электрическая и тепловая мощность компаний</w:t>
            </w:r>
            <w:r w:rsidR="00023E40">
              <w:rPr>
                <w:rFonts w:ascii="Times New Roman" w:hAnsi="Times New Roman" w:cs="Times New Roman"/>
                <w:b w:val="0"/>
                <w:sz w:val="24"/>
                <w:szCs w:val="24"/>
              </w:rPr>
              <w:t xml:space="preserve"> </w:t>
            </w:r>
            <w:r w:rsidRPr="00F44B9B">
              <w:rPr>
                <w:rFonts w:ascii="Times New Roman" w:hAnsi="Times New Roman" w:cs="Times New Roman"/>
                <w:b w:val="0"/>
                <w:sz w:val="24"/>
                <w:szCs w:val="24"/>
              </w:rPr>
              <w:t>и электрических станций энергосистемы Республики Татарстан</w:t>
            </w:r>
          </w:p>
          <w:p w:rsidR="00F44B9B" w:rsidRPr="00F44B9B" w:rsidRDefault="00F44B9B" w:rsidP="00F44B9B">
            <w:pPr>
              <w:pStyle w:val="ConsPlusTitle"/>
              <w:jc w:val="center"/>
              <w:rPr>
                <w:rFonts w:ascii="Times New Roman" w:hAnsi="Times New Roman" w:cs="Times New Roman"/>
                <w:b w:val="0"/>
                <w:sz w:val="24"/>
                <w:szCs w:val="24"/>
              </w:rPr>
            </w:pPr>
            <w:r w:rsidRPr="00F44B9B">
              <w:rPr>
                <w:rFonts w:ascii="Times New Roman" w:hAnsi="Times New Roman" w:cs="Times New Roman"/>
                <w:b w:val="0"/>
                <w:sz w:val="24"/>
                <w:szCs w:val="24"/>
              </w:rPr>
              <w:t>(по состоянию на 1 января 2019 года)</w:t>
            </w:r>
          </w:p>
          <w:p w:rsidR="00FB5578" w:rsidRDefault="00FB5578" w:rsidP="00D21E7D">
            <w:pPr>
              <w:ind w:firstLine="709"/>
              <w:jc w:val="both"/>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7"/>
              <w:gridCol w:w="1424"/>
              <w:gridCol w:w="1204"/>
            </w:tblGrid>
            <w:tr w:rsidR="00FA63D6" w:rsidRPr="00FA63D6" w:rsidTr="00364A79">
              <w:trPr>
                <w:trHeight w:val="464"/>
              </w:trPr>
              <w:tc>
                <w:tcPr>
                  <w:tcW w:w="2357" w:type="dxa"/>
                  <w:vMerge w:val="restart"/>
                  <w:shd w:val="clear" w:color="auto" w:fill="auto"/>
                  <w:vAlign w:val="center"/>
                </w:tcPr>
                <w:p w:rsidR="00FA63D6" w:rsidRPr="00FA63D6" w:rsidRDefault="00FA63D6" w:rsidP="00FA63D6">
                  <w:pPr>
                    <w:pStyle w:val="ConsPlusTitle"/>
                    <w:spacing w:before="60" w:after="60"/>
                    <w:jc w:val="center"/>
                    <w:rPr>
                      <w:rFonts w:ascii="Times New Roman" w:hAnsi="Times New Roman" w:cs="Times New Roman"/>
                      <w:b w:val="0"/>
                      <w:sz w:val="16"/>
                      <w:szCs w:val="16"/>
                    </w:rPr>
                  </w:pPr>
                  <w:r w:rsidRPr="00FA63D6">
                    <w:rPr>
                      <w:rFonts w:ascii="Times New Roman" w:hAnsi="Times New Roman" w:cs="Times New Roman"/>
                      <w:b w:val="0"/>
                      <w:sz w:val="16"/>
                      <w:szCs w:val="16"/>
                    </w:rPr>
                    <w:t>Наименование электростанции</w:t>
                  </w:r>
                </w:p>
              </w:tc>
              <w:tc>
                <w:tcPr>
                  <w:tcW w:w="2628" w:type="dxa"/>
                  <w:gridSpan w:val="2"/>
                  <w:shd w:val="clear" w:color="auto" w:fill="auto"/>
                  <w:vAlign w:val="center"/>
                </w:tcPr>
                <w:p w:rsidR="00FA63D6" w:rsidRPr="00FA63D6" w:rsidRDefault="00FA63D6" w:rsidP="00FA63D6">
                  <w:pPr>
                    <w:pStyle w:val="ConsPlusTitle"/>
                    <w:spacing w:before="60" w:after="60"/>
                    <w:jc w:val="center"/>
                    <w:rPr>
                      <w:rFonts w:ascii="Times New Roman" w:hAnsi="Times New Roman" w:cs="Times New Roman"/>
                      <w:b w:val="0"/>
                      <w:sz w:val="16"/>
                      <w:szCs w:val="16"/>
                    </w:rPr>
                  </w:pPr>
                  <w:r w:rsidRPr="00FA63D6">
                    <w:rPr>
                      <w:rFonts w:ascii="Times New Roman" w:hAnsi="Times New Roman" w:cs="Times New Roman"/>
                      <w:b w:val="0"/>
                      <w:sz w:val="16"/>
                      <w:szCs w:val="16"/>
                    </w:rPr>
                    <w:t>Установленная мощность</w:t>
                  </w:r>
                </w:p>
              </w:tc>
            </w:tr>
            <w:tr w:rsidR="00FA63D6" w:rsidRPr="00FA63D6" w:rsidTr="00364A79">
              <w:trPr>
                <w:trHeight w:val="482"/>
              </w:trPr>
              <w:tc>
                <w:tcPr>
                  <w:tcW w:w="2357" w:type="dxa"/>
                  <w:vMerge/>
                  <w:shd w:val="clear" w:color="auto" w:fill="auto"/>
                </w:tcPr>
                <w:p w:rsidR="00FA63D6" w:rsidRPr="00FA63D6" w:rsidRDefault="00FA63D6" w:rsidP="00FA63D6">
                  <w:pPr>
                    <w:pStyle w:val="ConsPlusTitle"/>
                    <w:spacing w:before="60" w:after="60"/>
                    <w:jc w:val="center"/>
                    <w:rPr>
                      <w:rFonts w:ascii="Times New Roman" w:hAnsi="Times New Roman" w:cs="Times New Roman"/>
                      <w:b w:val="0"/>
                      <w:sz w:val="16"/>
                      <w:szCs w:val="16"/>
                    </w:rPr>
                  </w:pPr>
                </w:p>
              </w:tc>
              <w:tc>
                <w:tcPr>
                  <w:tcW w:w="1424" w:type="dxa"/>
                  <w:shd w:val="clear" w:color="auto" w:fill="auto"/>
                </w:tcPr>
                <w:p w:rsidR="00FA63D6" w:rsidRPr="00FA63D6" w:rsidRDefault="00FA63D6" w:rsidP="00FA63D6">
                  <w:pPr>
                    <w:pStyle w:val="ConsPlusTitle"/>
                    <w:spacing w:before="60" w:after="60"/>
                    <w:jc w:val="center"/>
                    <w:rPr>
                      <w:rFonts w:ascii="Times New Roman" w:hAnsi="Times New Roman" w:cs="Times New Roman"/>
                      <w:b w:val="0"/>
                      <w:sz w:val="16"/>
                      <w:szCs w:val="16"/>
                    </w:rPr>
                  </w:pPr>
                  <w:r w:rsidRPr="00FA63D6">
                    <w:rPr>
                      <w:rFonts w:ascii="Times New Roman" w:hAnsi="Times New Roman" w:cs="Times New Roman"/>
                      <w:b w:val="0"/>
                      <w:sz w:val="16"/>
                      <w:szCs w:val="16"/>
                    </w:rPr>
                    <w:t>электрическая, МВт</w:t>
                  </w:r>
                </w:p>
              </w:tc>
              <w:tc>
                <w:tcPr>
                  <w:tcW w:w="1203" w:type="dxa"/>
                  <w:shd w:val="clear" w:color="auto" w:fill="auto"/>
                </w:tcPr>
                <w:p w:rsidR="00FA63D6" w:rsidRPr="00FA63D6" w:rsidRDefault="00FA63D6" w:rsidP="00FA63D6">
                  <w:pPr>
                    <w:pStyle w:val="ConsPlusTitle"/>
                    <w:spacing w:before="60" w:after="60"/>
                    <w:jc w:val="center"/>
                    <w:rPr>
                      <w:rFonts w:ascii="Times New Roman" w:hAnsi="Times New Roman" w:cs="Times New Roman"/>
                      <w:b w:val="0"/>
                      <w:sz w:val="16"/>
                      <w:szCs w:val="16"/>
                    </w:rPr>
                  </w:pPr>
                  <w:r w:rsidRPr="00FA63D6">
                    <w:rPr>
                      <w:rFonts w:ascii="Times New Roman" w:hAnsi="Times New Roman" w:cs="Times New Roman"/>
                      <w:b w:val="0"/>
                      <w:sz w:val="16"/>
                      <w:szCs w:val="16"/>
                    </w:rPr>
                    <w:t>тепловая, Гкал/час</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rPr>
                      <w:rFonts w:ascii="Times New Roman" w:hAnsi="Times New Roman" w:cs="Times New Roman"/>
                      <w:sz w:val="16"/>
                      <w:szCs w:val="16"/>
                    </w:rPr>
                  </w:pPr>
                  <w:r w:rsidRPr="00FA63D6">
                    <w:rPr>
                      <w:rFonts w:ascii="Times New Roman" w:hAnsi="Times New Roman" w:cs="Times New Roman"/>
                      <w:b/>
                      <w:sz w:val="16"/>
                      <w:szCs w:val="16"/>
                    </w:rPr>
                    <w:t>АО «Татэнерго»,</w:t>
                  </w:r>
                  <w:r w:rsidRPr="00FA63D6">
                    <w:rPr>
                      <w:rFonts w:ascii="Times New Roman" w:hAnsi="Times New Roman" w:cs="Times New Roman"/>
                      <w:sz w:val="16"/>
                      <w:szCs w:val="16"/>
                    </w:rPr>
                    <w:t xml:space="preserve"> в том числе</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5 376,9</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7 328,0</w:t>
                  </w:r>
                </w:p>
              </w:tc>
            </w:tr>
            <w:tr w:rsidR="00FA63D6" w:rsidRPr="00FA63D6" w:rsidTr="00364A79">
              <w:trPr>
                <w:trHeight w:val="500"/>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Казанская ТЭЦ-1</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377</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525</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Казанская ТЭЦ-2</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410</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876</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Набережночелнинская ТЭЦ</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1 180</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4 092</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Нижнекамская ГЭС</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1 205</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Заинская ГРЭС</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2</w:t>
                  </w:r>
                  <w:r w:rsidRPr="00FA63D6">
                    <w:rPr>
                      <w:rFonts w:ascii="Times New Roman" w:hAnsi="Times New Roman" w:cs="Times New Roman"/>
                      <w:sz w:val="16"/>
                      <w:szCs w:val="16"/>
                      <w:lang w:val="en-US"/>
                    </w:rPr>
                    <w:t xml:space="preserve"> </w:t>
                  </w:r>
                  <w:r w:rsidRPr="00FA63D6">
                    <w:rPr>
                      <w:rFonts w:ascii="Times New Roman" w:hAnsi="Times New Roman" w:cs="Times New Roman"/>
                      <w:sz w:val="16"/>
                      <w:szCs w:val="16"/>
                    </w:rPr>
                    <w:t>204,9</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145</w:t>
                  </w:r>
                </w:p>
              </w:tc>
            </w:tr>
            <w:tr w:rsidR="00FA63D6" w:rsidRPr="00FA63D6" w:rsidTr="00364A79">
              <w:trPr>
                <w:trHeight w:val="500"/>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Котельная «Азино»</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360</w:t>
                  </w:r>
                </w:p>
              </w:tc>
            </w:tr>
            <w:tr w:rsidR="00FA63D6" w:rsidRPr="00FA63D6" w:rsidTr="00364A79">
              <w:trPr>
                <w:trHeight w:val="464"/>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Котельная «Горки»</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200</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Котельная «Савиново»</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540</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КЦ БСИ</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590</w:t>
                  </w:r>
                </w:p>
              </w:tc>
            </w:tr>
            <w:tr w:rsidR="00FA63D6" w:rsidRPr="00FA63D6" w:rsidTr="00364A79">
              <w:trPr>
                <w:trHeight w:val="500"/>
              </w:trPr>
              <w:tc>
                <w:tcPr>
                  <w:tcW w:w="2357" w:type="dxa"/>
                  <w:shd w:val="clear" w:color="auto" w:fill="auto"/>
                </w:tcPr>
                <w:p w:rsidR="00FA63D6" w:rsidRPr="00FA63D6" w:rsidRDefault="00FA63D6" w:rsidP="00FA63D6">
                  <w:pPr>
                    <w:pStyle w:val="ConsPlusNormal"/>
                    <w:spacing w:before="60" w:after="60"/>
                    <w:rPr>
                      <w:rFonts w:ascii="Times New Roman" w:hAnsi="Times New Roman" w:cs="Times New Roman"/>
                      <w:sz w:val="16"/>
                      <w:szCs w:val="16"/>
                    </w:rPr>
                  </w:pPr>
                  <w:r w:rsidRPr="00FA63D6">
                    <w:rPr>
                      <w:rFonts w:ascii="Times New Roman" w:hAnsi="Times New Roman" w:cs="Times New Roman"/>
                      <w:b/>
                      <w:sz w:val="16"/>
                      <w:szCs w:val="16"/>
                    </w:rPr>
                    <w:t>ОАО «ТГК-16»</w:t>
                  </w:r>
                  <w:r w:rsidRPr="00FA63D6">
                    <w:rPr>
                      <w:rFonts w:ascii="Times New Roman" w:hAnsi="Times New Roman" w:cs="Times New Roman"/>
                      <w:sz w:val="16"/>
                      <w:szCs w:val="16"/>
                    </w:rPr>
                    <w:t>, в том числе</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1 658,4</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6</w:t>
                  </w:r>
                  <w:r w:rsidRPr="00FA63D6">
                    <w:rPr>
                      <w:rFonts w:ascii="Times New Roman" w:hAnsi="Times New Roman" w:cs="Times New Roman"/>
                      <w:b/>
                      <w:sz w:val="16"/>
                      <w:szCs w:val="16"/>
                      <w:lang w:val="en-US"/>
                    </w:rPr>
                    <w:t xml:space="preserve"> </w:t>
                  </w:r>
                  <w:r w:rsidRPr="00FA63D6">
                    <w:rPr>
                      <w:rFonts w:ascii="Times New Roman" w:hAnsi="Times New Roman" w:cs="Times New Roman"/>
                      <w:b/>
                      <w:sz w:val="16"/>
                      <w:szCs w:val="16"/>
                    </w:rPr>
                    <w:t>136,0</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Казанская ТЭЦ-3</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778,4</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2 390</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Нижнекамская ТЭЦ (ПТК-1)</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880</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3 746</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rPr>
                      <w:rFonts w:ascii="Times New Roman" w:hAnsi="Times New Roman" w:cs="Times New Roman"/>
                      <w:sz w:val="16"/>
                      <w:szCs w:val="16"/>
                    </w:rPr>
                  </w:pPr>
                  <w:r w:rsidRPr="00FA63D6">
                    <w:rPr>
                      <w:rFonts w:ascii="Times New Roman" w:hAnsi="Times New Roman" w:cs="Times New Roman"/>
                      <w:b/>
                      <w:sz w:val="16"/>
                      <w:szCs w:val="16"/>
                    </w:rPr>
                    <w:t>ООО «Нижнекамская ТЭЦ»</w:t>
                  </w:r>
                  <w:r w:rsidRPr="00FA63D6">
                    <w:rPr>
                      <w:rFonts w:ascii="Times New Roman" w:hAnsi="Times New Roman" w:cs="Times New Roman"/>
                      <w:sz w:val="16"/>
                      <w:szCs w:val="16"/>
                    </w:rPr>
                    <w:t>, в том числе</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724</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b/>
                      <w:sz w:val="16"/>
                      <w:szCs w:val="16"/>
                    </w:rPr>
                  </w:pPr>
                  <w:r w:rsidRPr="00FA63D6">
                    <w:rPr>
                      <w:rFonts w:ascii="Times New Roman" w:hAnsi="Times New Roman" w:cs="Times New Roman"/>
                      <w:b/>
                      <w:sz w:val="16"/>
                      <w:szCs w:val="16"/>
                    </w:rPr>
                    <w:t>1 580</w:t>
                  </w:r>
                </w:p>
              </w:tc>
            </w:tr>
            <w:tr w:rsidR="00FA63D6" w:rsidRPr="00FA63D6" w:rsidTr="00364A79">
              <w:trPr>
                <w:trHeight w:val="482"/>
              </w:trPr>
              <w:tc>
                <w:tcPr>
                  <w:tcW w:w="2357" w:type="dxa"/>
                  <w:shd w:val="clear" w:color="auto" w:fill="auto"/>
                </w:tcPr>
                <w:p w:rsidR="00FA63D6" w:rsidRPr="00FA63D6" w:rsidRDefault="00FA63D6" w:rsidP="00FA63D6">
                  <w:pPr>
                    <w:pStyle w:val="ConsPlusNormal"/>
                    <w:spacing w:before="60" w:after="60"/>
                    <w:ind w:left="426"/>
                    <w:rPr>
                      <w:rFonts w:ascii="Times New Roman" w:hAnsi="Times New Roman" w:cs="Times New Roman"/>
                      <w:sz w:val="16"/>
                      <w:szCs w:val="16"/>
                    </w:rPr>
                  </w:pPr>
                  <w:r w:rsidRPr="00FA63D6">
                    <w:rPr>
                      <w:rFonts w:ascii="Times New Roman" w:hAnsi="Times New Roman" w:cs="Times New Roman"/>
                      <w:sz w:val="16"/>
                      <w:szCs w:val="16"/>
                    </w:rPr>
                    <w:t>Нижнекамская ТЭЦ (ПТК-2)</w:t>
                  </w:r>
                </w:p>
              </w:tc>
              <w:tc>
                <w:tcPr>
                  <w:tcW w:w="1424"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724</w:t>
                  </w:r>
                </w:p>
              </w:tc>
              <w:tc>
                <w:tcPr>
                  <w:tcW w:w="1203" w:type="dxa"/>
                  <w:shd w:val="clear" w:color="auto" w:fill="auto"/>
                </w:tcPr>
                <w:p w:rsidR="00FA63D6" w:rsidRPr="00FA63D6" w:rsidRDefault="00FA63D6" w:rsidP="00FA63D6">
                  <w:pPr>
                    <w:pStyle w:val="ConsPlusNormal"/>
                    <w:spacing w:before="60" w:after="60"/>
                    <w:jc w:val="center"/>
                    <w:rPr>
                      <w:rFonts w:ascii="Times New Roman" w:hAnsi="Times New Roman" w:cs="Times New Roman"/>
                      <w:sz w:val="16"/>
                      <w:szCs w:val="16"/>
                    </w:rPr>
                  </w:pPr>
                  <w:r w:rsidRPr="00FA63D6">
                    <w:rPr>
                      <w:rFonts w:ascii="Times New Roman" w:hAnsi="Times New Roman" w:cs="Times New Roman"/>
                      <w:sz w:val="16"/>
                      <w:szCs w:val="16"/>
                    </w:rPr>
                    <w:t>1 580</w:t>
                  </w:r>
                </w:p>
              </w:tc>
            </w:tr>
          </w:tbl>
          <w:p w:rsidR="00FA63D6" w:rsidRDefault="00FA63D6" w:rsidP="003B17D7">
            <w:pPr>
              <w:jc w:val="both"/>
              <w:rPr>
                <w:rFonts w:ascii="Times New Roman" w:eastAsia="Times New Roman" w:hAnsi="Times New Roman" w:cs="Times New Roman"/>
                <w:sz w:val="24"/>
                <w:szCs w:val="24"/>
                <w:lang w:eastAsia="ru-RU"/>
              </w:rPr>
            </w:pP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Передача электрической энергии осуществляется по сетям электросетевых компаний.</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Крупнейшей электросетевой организацией в Республике Татарстан является ОАО «Сетевая компания». По состоянию на 1 января 2019 года в республике также функционирует 27 территориально – сетевых организаций (ТСО).</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 xml:space="preserve">В филиалах ОАО «Сетевая компания» находится в эксплуатации </w:t>
            </w:r>
            <w:r w:rsidRPr="003B17D7">
              <w:rPr>
                <w:rFonts w:ascii="Times New Roman" w:eastAsia="Times New Roman" w:hAnsi="Times New Roman" w:cs="Times New Roman"/>
                <w:sz w:val="24"/>
                <w:szCs w:val="24"/>
                <w:lang w:eastAsia="ru-RU"/>
              </w:rPr>
              <w:br/>
              <w:t>381 подстанция 35 – 500 кВ установленной мощностью 18 876,7 МВА,</w:t>
            </w:r>
            <w:r w:rsidRPr="003B17D7">
              <w:rPr>
                <w:rFonts w:ascii="Times New Roman" w:eastAsia="Times New Roman" w:hAnsi="Times New Roman" w:cs="Times New Roman"/>
                <w:sz w:val="24"/>
                <w:szCs w:val="24"/>
                <w:lang w:eastAsia="ru-RU"/>
              </w:rPr>
              <w:br/>
              <w:t>в работе на ПС 35 – 500 кВ находится 755 силовых трансформаторов (</w:t>
            </w:r>
            <w:r w:rsidRPr="003B17D7">
              <w:rPr>
                <w:rFonts w:ascii="Times New Roman" w:eastAsia="Times New Roman" w:hAnsi="Times New Roman" w:cs="Times New Roman"/>
                <w:i/>
                <w:sz w:val="24"/>
                <w:szCs w:val="24"/>
                <w:lang w:eastAsia="ru-RU"/>
              </w:rPr>
              <w:t>автотрансформаторов</w:t>
            </w:r>
            <w:r w:rsidRPr="003B17D7">
              <w:rPr>
                <w:rFonts w:ascii="Times New Roman" w:eastAsia="Times New Roman" w:hAnsi="Times New Roman" w:cs="Times New Roman"/>
                <w:sz w:val="24"/>
                <w:szCs w:val="24"/>
                <w:lang w:eastAsia="ru-RU"/>
              </w:rPr>
              <w:t>) класса напряжения 3-500 кВ. </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Энергосистема Республики Татарстан является наиболее крупной в территориальной структуре электропотребления Объединенной энергетической системы Средней Волги, имеет наибольший удельный вес в суммарном потреблении электрической энергии в системе 27,9 процента, и в течение прогнозного периода данный показатель не претерпит существенных изменений.</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Основные проблемные вопросы энергетической отрасли Татарстана заключаются в следующем.</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 xml:space="preserve">По состоянию на 1 января 2019 года физический износ основных производственных фондов ОАО «Сетевая компания» (линии электропередач, трансформаторы) составляет 61,4 процента, по линиям электропередач напряжением СН1 (35 кВ) износ достигает 76,41 процента. Вместе с тем потери электрической энергии при транспортировке по сетям ОАО «Сетевая компания» снизились с 7,1 процента в 2016 году до 6,94 процента в 2018 году. </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Несмотря на то, что уровень потерь в сетях ОАО «Сетевая компания» является одним из самых низких в стране, указанное значение выше по сравнению со значениями сетевых потерь в промышленно развитых странах мира.</w:t>
            </w:r>
          </w:p>
          <w:p w:rsidR="003B17D7" w:rsidRPr="003B17D7" w:rsidRDefault="003B17D7" w:rsidP="003B17D7">
            <w:pPr>
              <w:ind w:firstLine="709"/>
              <w:jc w:val="both"/>
              <w:rPr>
                <w:rFonts w:ascii="Times New Roman" w:eastAsia="Times New Roman" w:hAnsi="Times New Roman" w:cs="Times New Roman"/>
                <w:sz w:val="24"/>
                <w:szCs w:val="24"/>
                <w:lang w:eastAsia="ru-RU"/>
              </w:rPr>
            </w:pPr>
            <w:r w:rsidRPr="003B17D7">
              <w:rPr>
                <w:rFonts w:ascii="Times New Roman" w:eastAsia="Times New Roman" w:hAnsi="Times New Roman" w:cs="Times New Roman"/>
                <w:sz w:val="24"/>
                <w:szCs w:val="24"/>
                <w:lang w:eastAsia="ru-RU"/>
              </w:rPr>
              <w:t xml:space="preserve">По состоянию на 1 января 2019 года физический износ основных производственных фондов по объектам генерации составил: АО «Татэнерго» – </w:t>
            </w:r>
            <w:r w:rsidRPr="003B17D7">
              <w:rPr>
                <w:rFonts w:ascii="Times New Roman" w:eastAsia="Times New Roman" w:hAnsi="Times New Roman" w:cs="Times New Roman"/>
                <w:sz w:val="24"/>
                <w:szCs w:val="24"/>
                <w:lang w:eastAsia="ru-RU"/>
              </w:rPr>
              <w:br/>
              <w:t xml:space="preserve">69,0 процентов, ООО «Нижнекамская ТЭЦ» – 58,0 процентов, ОАО «ТГК-16» – </w:t>
            </w:r>
            <w:r w:rsidRPr="003B17D7">
              <w:rPr>
                <w:rFonts w:ascii="Times New Roman" w:eastAsia="Times New Roman" w:hAnsi="Times New Roman" w:cs="Times New Roman"/>
                <w:sz w:val="24"/>
                <w:szCs w:val="24"/>
                <w:lang w:eastAsia="ru-RU"/>
              </w:rPr>
              <w:br/>
              <w:t>56,9 процента. Такая ситуация связана с необходимостью значительных капитальных вложений, высокими сроками окупаемости мероприятий по модернизации объектов электроэнергетики.</w:t>
            </w:r>
          </w:p>
          <w:p w:rsidR="00D21E7D" w:rsidRPr="00D423B2" w:rsidRDefault="00D21E7D" w:rsidP="00FD2F6E">
            <w:pPr>
              <w:tabs>
                <w:tab w:val="left" w:pos="3165"/>
              </w:tabs>
              <w:rPr>
                <w:rFonts w:ascii="Times New Roman" w:hAnsi="Times New Roman" w:cs="Times New Roman"/>
                <w:sz w:val="24"/>
                <w:szCs w:val="24"/>
              </w:rPr>
            </w:pPr>
          </w:p>
          <w:p w:rsidR="00DC0F45" w:rsidRPr="00D423B2" w:rsidRDefault="00DC0F45" w:rsidP="00DC0F45">
            <w:pPr>
              <w:widowControl w:val="0"/>
              <w:autoSpaceDE w:val="0"/>
              <w:autoSpaceDN w:val="0"/>
              <w:jc w:val="center"/>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4.1.1. Структура производства и потребления электрической и тепловой энергии</w:t>
            </w:r>
          </w:p>
          <w:p w:rsidR="0033609B" w:rsidRPr="0033609B" w:rsidRDefault="0033609B" w:rsidP="0033609B">
            <w:pPr>
              <w:autoSpaceDE w:val="0"/>
              <w:autoSpaceDN w:val="0"/>
              <w:adjustRightInd w:val="0"/>
              <w:spacing w:before="220"/>
              <w:ind w:firstLine="709"/>
              <w:jc w:val="both"/>
              <w:rPr>
                <w:rFonts w:ascii="Times New Roman" w:eastAsia="Times New Roman" w:hAnsi="Times New Roman" w:cs="Times New Roman"/>
                <w:sz w:val="24"/>
                <w:szCs w:val="24"/>
                <w:lang w:eastAsia="ru-RU"/>
              </w:rPr>
            </w:pPr>
            <w:r w:rsidRPr="0033609B">
              <w:rPr>
                <w:rFonts w:ascii="Times New Roman" w:eastAsia="Times New Roman" w:hAnsi="Times New Roman" w:cs="Times New Roman"/>
                <w:sz w:val="24"/>
                <w:szCs w:val="24"/>
                <w:lang w:eastAsia="ru-RU"/>
              </w:rPr>
              <w:t>Выработка электрической энергии в Республике Татарстан осуществляется в основном на тепловых электростанциях. На долю гидроэлектростанции (Нижнекамская ГЭС) приходится 7 – 10 процентов выработки.</w:t>
            </w:r>
          </w:p>
          <w:p w:rsidR="00235235" w:rsidRDefault="0033609B" w:rsidP="0033609B">
            <w:pPr>
              <w:ind w:firstLine="709"/>
              <w:contextualSpacing/>
              <w:jc w:val="both"/>
              <w:rPr>
                <w:rFonts w:ascii="Times New Roman" w:eastAsia="Times New Roman" w:hAnsi="Times New Roman" w:cs="Times New Roman"/>
                <w:sz w:val="24"/>
                <w:szCs w:val="24"/>
                <w:lang w:eastAsia="ru-RU"/>
              </w:rPr>
            </w:pPr>
            <w:r w:rsidRPr="0033609B">
              <w:rPr>
                <w:rFonts w:ascii="Times New Roman" w:eastAsia="Times New Roman" w:hAnsi="Times New Roman" w:cs="Times New Roman"/>
                <w:sz w:val="24"/>
                <w:szCs w:val="24"/>
                <w:lang w:eastAsia="ru-RU"/>
              </w:rPr>
              <w:t>По информации филиала АО «СО ЕЭС» РДУ Татарстана за 2018 год в республике всего выработано 27,2 млрд кВтч электрической энергии, что</w:t>
            </w:r>
            <w:r w:rsidRPr="0033609B">
              <w:rPr>
                <w:rFonts w:ascii="Times New Roman" w:eastAsia="Times New Roman" w:hAnsi="Times New Roman" w:cs="Times New Roman"/>
                <w:sz w:val="24"/>
                <w:szCs w:val="24"/>
                <w:lang w:eastAsia="ru-RU"/>
              </w:rPr>
              <w:br/>
              <w:t>на 25,8 процента выше уровня 2017 года, в том числе выработка электростанциями ОРЭМ – 26,1 млрд кВт*ч.</w:t>
            </w:r>
          </w:p>
          <w:p w:rsidR="002052DB" w:rsidRPr="00D423B2" w:rsidRDefault="002052DB" w:rsidP="0033609B">
            <w:pPr>
              <w:ind w:firstLine="709"/>
              <w:contextualSpacing/>
              <w:jc w:val="both"/>
              <w:rPr>
                <w:rFonts w:ascii="Times New Roman" w:eastAsia="Times New Roman" w:hAnsi="Times New Roman" w:cs="Times New Roman"/>
                <w:sz w:val="24"/>
                <w:szCs w:val="24"/>
                <w:lang w:eastAsia="ru-RU"/>
              </w:rPr>
            </w:pPr>
          </w:p>
          <w:p w:rsidR="00DC0F45" w:rsidRPr="00D423B2" w:rsidRDefault="00235235" w:rsidP="00235235">
            <w:pPr>
              <w:tabs>
                <w:tab w:val="left" w:pos="3165"/>
              </w:tabs>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405D6830" wp14:editId="5A72CDBB">
                  <wp:extent cx="2261870" cy="1341120"/>
                  <wp:effectExtent l="0" t="0" r="508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61870" cy="1341120"/>
                          </a:xfrm>
                          <a:prstGeom prst="rect">
                            <a:avLst/>
                          </a:prstGeom>
                          <a:noFill/>
                        </pic:spPr>
                      </pic:pic>
                    </a:graphicData>
                  </a:graphic>
                </wp:inline>
              </w:drawing>
            </w:r>
          </w:p>
          <w:p w:rsidR="00C15E51" w:rsidRPr="00D423B2" w:rsidRDefault="00C15E51" w:rsidP="00C15E51">
            <w:pPr>
              <w:autoSpaceDE w:val="0"/>
              <w:autoSpaceDN w:val="0"/>
              <w:adjustRightInd w:val="0"/>
              <w:jc w:val="center"/>
              <w:rPr>
                <w:rFonts w:ascii="Times New Roman" w:eastAsia="Times New Roman" w:hAnsi="Times New Roman" w:cs="Times New Roman"/>
                <w:sz w:val="16"/>
                <w:szCs w:val="16"/>
                <w:lang w:eastAsia="ru-RU"/>
              </w:rPr>
            </w:pPr>
          </w:p>
          <w:p w:rsidR="003F6E4D" w:rsidRPr="003F6E4D" w:rsidRDefault="003F6E4D" w:rsidP="003F6E4D">
            <w:pPr>
              <w:autoSpaceDE w:val="0"/>
              <w:autoSpaceDN w:val="0"/>
              <w:adjustRightInd w:val="0"/>
              <w:jc w:val="center"/>
              <w:rPr>
                <w:rFonts w:ascii="Times New Roman" w:eastAsia="Times New Roman" w:hAnsi="Times New Roman" w:cs="Times New Roman"/>
                <w:sz w:val="16"/>
                <w:szCs w:val="16"/>
                <w:lang w:eastAsia="ru-RU"/>
              </w:rPr>
            </w:pPr>
            <w:r w:rsidRPr="003F6E4D">
              <w:rPr>
                <w:rFonts w:ascii="Times New Roman" w:eastAsia="Times New Roman" w:hAnsi="Times New Roman" w:cs="Times New Roman"/>
                <w:sz w:val="16"/>
                <w:szCs w:val="16"/>
                <w:lang w:eastAsia="ru-RU"/>
              </w:rPr>
              <w:t xml:space="preserve">Рис. 20. Структура выработки электрической энергии электростанциями, </w:t>
            </w:r>
            <w:r w:rsidRPr="003F6E4D">
              <w:rPr>
                <w:rFonts w:ascii="Times New Roman" w:eastAsia="Times New Roman" w:hAnsi="Times New Roman" w:cs="Times New Roman"/>
                <w:sz w:val="16"/>
                <w:szCs w:val="16"/>
                <w:lang w:eastAsia="ru-RU"/>
              </w:rPr>
              <w:br/>
              <w:t>функционирующими в Республике Татарстан за 2018 год</w:t>
            </w:r>
          </w:p>
          <w:p w:rsidR="003F6E4D" w:rsidRDefault="003F6E4D" w:rsidP="00640FC3">
            <w:pPr>
              <w:autoSpaceDE w:val="0"/>
              <w:autoSpaceDN w:val="0"/>
              <w:adjustRightInd w:val="0"/>
              <w:ind w:firstLine="709"/>
              <w:jc w:val="both"/>
              <w:rPr>
                <w:rFonts w:ascii="Times New Roman" w:eastAsia="Times New Roman" w:hAnsi="Times New Roman" w:cs="Times New Roman"/>
                <w:sz w:val="24"/>
                <w:szCs w:val="24"/>
                <w:lang w:eastAsia="ru-RU"/>
              </w:rPr>
            </w:pP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В последние годы наблюдается рост выработки электрической энергии, что объясняется вводом современных источников электрической энергии.</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Увеличение потребления электрической энергии в Республике Татарстан в 2018 году по отношению к 2014 году составило 3,1 млрд кВт*ч или 11,3 процента. Потребление электрической энергии за 2018 год составило 30 191 млн кВт*ч.</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За рассматриваемый период структура потребления электрической энергии в разрезе групп потребителей не претерпела существенных изменений. Так, по итогам 2018 года потребление электроэнергии по группам потребителей в общем объеме потребления в Республике Татарстан представлено следующим образом:</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 xml:space="preserve">химия, нефтехимия – 18,0 процентов (снижение относительно 2014 года </w:t>
            </w:r>
            <w:r w:rsidRPr="00D42C75">
              <w:rPr>
                <w:rFonts w:ascii="Times New Roman" w:eastAsia="Times New Roman" w:hAnsi="Times New Roman" w:cs="Times New Roman"/>
                <w:sz w:val="24"/>
                <w:szCs w:val="24"/>
                <w:lang w:eastAsia="ru-RU"/>
              </w:rPr>
              <w:br/>
              <w:t>на 0,7 процента);</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нефтедобыча – 14,6 процента (рост относительно 2014 года на 0,1 процента);</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 xml:space="preserve">машиностроение – 6,0 процентов (снижение относительно 2014 года </w:t>
            </w:r>
            <w:r w:rsidRPr="00D42C75">
              <w:rPr>
                <w:rFonts w:ascii="Times New Roman" w:eastAsia="Times New Roman" w:hAnsi="Times New Roman" w:cs="Times New Roman"/>
                <w:sz w:val="24"/>
                <w:szCs w:val="24"/>
                <w:lang w:eastAsia="ru-RU"/>
              </w:rPr>
              <w:br/>
              <w:t>на 0,3 процента);</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 xml:space="preserve">население – 12,3 процента (снижение относительно 2014 года </w:t>
            </w:r>
            <w:r w:rsidRPr="00D42C75">
              <w:rPr>
                <w:rFonts w:ascii="Times New Roman" w:eastAsia="Times New Roman" w:hAnsi="Times New Roman" w:cs="Times New Roman"/>
                <w:sz w:val="24"/>
                <w:szCs w:val="24"/>
                <w:lang w:eastAsia="ru-RU"/>
              </w:rPr>
              <w:br/>
              <w:t>на 0,1 процента);</w:t>
            </w:r>
          </w:p>
          <w:p w:rsidR="00D42C75" w:rsidRPr="00D42C75" w:rsidRDefault="00D42C75" w:rsidP="00D42C75">
            <w:pPr>
              <w:autoSpaceDE w:val="0"/>
              <w:autoSpaceDN w:val="0"/>
              <w:adjustRightInd w:val="0"/>
              <w:ind w:firstLine="709"/>
              <w:jc w:val="both"/>
              <w:rPr>
                <w:rFonts w:ascii="Times New Roman" w:eastAsia="Times New Roman" w:hAnsi="Times New Roman" w:cs="Times New Roman"/>
                <w:sz w:val="24"/>
                <w:szCs w:val="24"/>
                <w:lang w:eastAsia="ru-RU"/>
              </w:rPr>
            </w:pPr>
            <w:r w:rsidRPr="00D42C75">
              <w:rPr>
                <w:rFonts w:ascii="Times New Roman" w:eastAsia="Times New Roman" w:hAnsi="Times New Roman" w:cs="Times New Roman"/>
                <w:sz w:val="24"/>
                <w:szCs w:val="24"/>
                <w:lang w:eastAsia="ru-RU"/>
              </w:rPr>
              <w:t xml:space="preserve">прочие потребители – 11,8 процента (рост относительно 2014 года </w:t>
            </w:r>
            <w:r w:rsidRPr="00D42C75">
              <w:rPr>
                <w:rFonts w:ascii="Times New Roman" w:eastAsia="Times New Roman" w:hAnsi="Times New Roman" w:cs="Times New Roman"/>
                <w:sz w:val="24"/>
                <w:szCs w:val="24"/>
                <w:lang w:eastAsia="ru-RU"/>
              </w:rPr>
              <w:br/>
              <w:t>на 1,2 процента).</w:t>
            </w:r>
          </w:p>
          <w:p w:rsidR="00640FC3" w:rsidRPr="00D423B2" w:rsidRDefault="00640FC3" w:rsidP="00640FC3">
            <w:pPr>
              <w:autoSpaceDE w:val="0"/>
              <w:autoSpaceDN w:val="0"/>
              <w:adjustRightInd w:val="0"/>
              <w:jc w:val="both"/>
              <w:rPr>
                <w:rFonts w:ascii="Times New Roman" w:eastAsia="Times New Roman" w:hAnsi="Times New Roman" w:cs="Times New Roman"/>
                <w:sz w:val="24"/>
                <w:szCs w:val="24"/>
                <w:lang w:eastAsia="ru-RU"/>
              </w:rPr>
            </w:pPr>
          </w:p>
          <w:p w:rsidR="00C15E51" w:rsidRPr="00D423B2" w:rsidRDefault="00B03217" w:rsidP="00235235">
            <w:pPr>
              <w:tabs>
                <w:tab w:val="left" w:pos="3165"/>
              </w:tabs>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014B660A" wp14:editId="44963EB6">
                  <wp:extent cx="2018356" cy="983036"/>
                  <wp:effectExtent l="0" t="0" r="1270" b="762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52037" cy="999440"/>
                          </a:xfrm>
                          <a:prstGeom prst="rect">
                            <a:avLst/>
                          </a:prstGeom>
                          <a:noFill/>
                        </pic:spPr>
                      </pic:pic>
                    </a:graphicData>
                  </a:graphic>
                </wp:inline>
              </w:drawing>
            </w:r>
          </w:p>
          <w:p w:rsidR="00BE0B48" w:rsidRDefault="00BE0B48" w:rsidP="00B03217">
            <w:pPr>
              <w:autoSpaceDE w:val="0"/>
              <w:autoSpaceDN w:val="0"/>
              <w:adjustRightInd w:val="0"/>
              <w:jc w:val="center"/>
              <w:rPr>
                <w:rFonts w:ascii="Times New Roman" w:eastAsia="Times New Roman" w:hAnsi="Times New Roman" w:cs="Times New Roman"/>
                <w:sz w:val="16"/>
                <w:szCs w:val="16"/>
                <w:lang w:eastAsia="ru-RU"/>
              </w:rPr>
            </w:pPr>
          </w:p>
          <w:p w:rsidR="009B2D5C" w:rsidRPr="009B2D5C" w:rsidRDefault="009B2D5C" w:rsidP="009B2D5C">
            <w:pPr>
              <w:autoSpaceDE w:val="0"/>
              <w:autoSpaceDN w:val="0"/>
              <w:adjustRightInd w:val="0"/>
              <w:jc w:val="center"/>
              <w:rPr>
                <w:rFonts w:ascii="Times New Roman" w:eastAsia="Times New Roman" w:hAnsi="Times New Roman" w:cs="Times New Roman"/>
                <w:sz w:val="16"/>
                <w:szCs w:val="16"/>
                <w:lang w:eastAsia="ru-RU"/>
              </w:rPr>
            </w:pPr>
            <w:r w:rsidRPr="009B2D5C">
              <w:rPr>
                <w:rFonts w:ascii="Times New Roman" w:eastAsia="Times New Roman" w:hAnsi="Times New Roman" w:cs="Times New Roman"/>
                <w:sz w:val="16"/>
                <w:szCs w:val="16"/>
                <w:lang w:eastAsia="ru-RU"/>
              </w:rPr>
              <w:t>Рис. 21. Динамика потребления электрической</w:t>
            </w:r>
            <w:r>
              <w:rPr>
                <w:rFonts w:ascii="Times New Roman" w:eastAsia="Times New Roman" w:hAnsi="Times New Roman" w:cs="Times New Roman"/>
                <w:sz w:val="16"/>
                <w:szCs w:val="16"/>
                <w:lang w:eastAsia="ru-RU"/>
              </w:rPr>
              <w:t xml:space="preserve"> энергии в Республике Татарстан </w:t>
            </w:r>
            <w:r w:rsidRPr="009B2D5C">
              <w:rPr>
                <w:rFonts w:ascii="Times New Roman" w:eastAsia="Times New Roman" w:hAnsi="Times New Roman" w:cs="Times New Roman"/>
                <w:sz w:val="16"/>
                <w:szCs w:val="16"/>
                <w:lang w:eastAsia="ru-RU"/>
              </w:rPr>
              <w:t>в 2014 и 2018 годах</w:t>
            </w:r>
          </w:p>
          <w:p w:rsidR="00B03217" w:rsidRPr="00D423B2" w:rsidRDefault="00B03217" w:rsidP="00B03217">
            <w:pPr>
              <w:autoSpaceDE w:val="0"/>
              <w:autoSpaceDN w:val="0"/>
              <w:adjustRightInd w:val="0"/>
              <w:ind w:firstLine="709"/>
              <w:jc w:val="both"/>
              <w:rPr>
                <w:rFonts w:ascii="Times New Roman" w:eastAsia="Times New Roman" w:hAnsi="Times New Roman" w:cs="Times New Roman"/>
                <w:sz w:val="24"/>
                <w:szCs w:val="24"/>
                <w:lang w:eastAsia="ru-RU"/>
              </w:rPr>
            </w:pPr>
          </w:p>
          <w:p w:rsidR="00B03217" w:rsidRPr="00D423B2" w:rsidRDefault="00970487" w:rsidP="00235235">
            <w:pPr>
              <w:tabs>
                <w:tab w:val="left" w:pos="3165"/>
              </w:tabs>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52F0A4FC" wp14:editId="74F626D1">
                  <wp:extent cx="2486489" cy="1114425"/>
                  <wp:effectExtent l="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489326" cy="1115696"/>
                          </a:xfrm>
                          <a:prstGeom prst="rect">
                            <a:avLst/>
                          </a:prstGeom>
                          <a:noFill/>
                        </pic:spPr>
                      </pic:pic>
                    </a:graphicData>
                  </a:graphic>
                </wp:inline>
              </w:drawing>
            </w:r>
            <w:r w:rsidRPr="00D423B2">
              <w:rPr>
                <w:rFonts w:ascii="Times New Roman" w:hAnsi="Times New Roman" w:cs="Times New Roman"/>
                <w:noProof/>
                <w:sz w:val="24"/>
                <w:szCs w:val="24"/>
                <w:lang w:eastAsia="ru-RU"/>
              </w:rPr>
              <w:drawing>
                <wp:inline distT="0" distB="0" distL="0" distR="0" wp14:anchorId="223C26E0" wp14:editId="78AC1818">
                  <wp:extent cx="2457450" cy="108839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465150" cy="1091800"/>
                          </a:xfrm>
                          <a:prstGeom prst="rect">
                            <a:avLst/>
                          </a:prstGeom>
                          <a:noFill/>
                        </pic:spPr>
                      </pic:pic>
                    </a:graphicData>
                  </a:graphic>
                </wp:inline>
              </w:drawing>
            </w:r>
          </w:p>
          <w:p w:rsidR="00970487" w:rsidRPr="00D423B2" w:rsidRDefault="00970487" w:rsidP="00235235">
            <w:pPr>
              <w:tabs>
                <w:tab w:val="left" w:pos="3165"/>
              </w:tabs>
              <w:jc w:val="center"/>
              <w:rPr>
                <w:rFonts w:ascii="Times New Roman" w:hAnsi="Times New Roman" w:cs="Times New Roman"/>
                <w:sz w:val="16"/>
                <w:szCs w:val="16"/>
              </w:rPr>
            </w:pPr>
          </w:p>
          <w:p w:rsidR="00970487" w:rsidRPr="00D423B2" w:rsidRDefault="00CF6EB4" w:rsidP="00970487">
            <w:pPr>
              <w:autoSpaceDE w:val="0"/>
              <w:autoSpaceDN w:val="0"/>
              <w:adjustRightInd w:val="0"/>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Рис. 22</w:t>
            </w:r>
            <w:r w:rsidR="00970487" w:rsidRPr="00D423B2">
              <w:rPr>
                <w:rFonts w:ascii="Times New Roman" w:eastAsia="Times New Roman" w:hAnsi="Times New Roman" w:cs="Times New Roman"/>
                <w:sz w:val="16"/>
                <w:szCs w:val="16"/>
                <w:lang w:eastAsia="ru-RU"/>
              </w:rPr>
              <w:t>. Структура потребления электроэнергии в Республике Татарстан в 2014 и 2018 годах</w:t>
            </w:r>
          </w:p>
          <w:p w:rsidR="00D855D1" w:rsidRPr="00D423B2" w:rsidRDefault="00D855D1" w:rsidP="00D855D1">
            <w:pPr>
              <w:ind w:firstLine="708"/>
              <w:jc w:val="both"/>
              <w:rPr>
                <w:rFonts w:ascii="Times New Roman" w:eastAsia="Times New Roman" w:hAnsi="Times New Roman" w:cs="Times New Roman"/>
                <w:sz w:val="24"/>
                <w:szCs w:val="24"/>
                <w:lang w:eastAsia="ru-RU"/>
              </w:rPr>
            </w:pPr>
          </w:p>
          <w:p w:rsidR="00DF0316" w:rsidRPr="00DF0316" w:rsidRDefault="00DF0316" w:rsidP="00DF0316">
            <w:pPr>
              <w:ind w:firstLine="708"/>
              <w:jc w:val="both"/>
              <w:rPr>
                <w:rFonts w:ascii="Times New Roman" w:eastAsia="Times New Roman" w:hAnsi="Times New Roman" w:cs="Times New Roman"/>
                <w:sz w:val="24"/>
                <w:szCs w:val="24"/>
                <w:lang w:eastAsia="ru-RU"/>
              </w:rPr>
            </w:pPr>
            <w:r w:rsidRPr="00DF0316">
              <w:rPr>
                <w:rFonts w:ascii="Times New Roman" w:eastAsia="Times New Roman" w:hAnsi="Times New Roman" w:cs="Times New Roman"/>
                <w:sz w:val="24"/>
                <w:szCs w:val="24"/>
                <w:lang w:eastAsia="ru-RU"/>
              </w:rPr>
              <w:t>В Республике Татарстан отпуск тепловой энергии, производимой на электростанциях в режиме комбинированной выработки, по итогам 2018 года составил 35,4 млн Гкал с ростом относительно 2013 года на 9,3 процента. В целом, по информации Татарстанстата, производство пара и горячей воды в Республике Татарстан составило 57,1 млн Гкал, что на 8,1 процента выше уровня 2013 года.</w:t>
            </w:r>
          </w:p>
          <w:p w:rsidR="00D855D1" w:rsidRPr="00D423B2" w:rsidRDefault="00D855D1" w:rsidP="00D855D1">
            <w:pPr>
              <w:autoSpaceDE w:val="0"/>
              <w:autoSpaceDN w:val="0"/>
              <w:adjustRightInd w:val="0"/>
              <w:jc w:val="center"/>
              <w:rPr>
                <w:rFonts w:ascii="Times New Roman" w:eastAsia="Times New Roman" w:hAnsi="Times New Roman" w:cs="Times New Roman"/>
                <w:sz w:val="24"/>
                <w:szCs w:val="24"/>
                <w:lang w:eastAsia="ru-RU"/>
              </w:rPr>
            </w:pPr>
          </w:p>
          <w:p w:rsidR="00970487" w:rsidRPr="00D423B2" w:rsidRDefault="00230DED" w:rsidP="00235235">
            <w:pPr>
              <w:tabs>
                <w:tab w:val="left" w:pos="3165"/>
              </w:tabs>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7D253DD0" wp14:editId="18C14063">
                  <wp:extent cx="2476500" cy="967105"/>
                  <wp:effectExtent l="0" t="0" r="0" b="444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81670" cy="969124"/>
                          </a:xfrm>
                          <a:prstGeom prst="rect">
                            <a:avLst/>
                          </a:prstGeom>
                          <a:noFill/>
                        </pic:spPr>
                      </pic:pic>
                    </a:graphicData>
                  </a:graphic>
                </wp:inline>
              </w:drawing>
            </w:r>
          </w:p>
          <w:p w:rsidR="00FA58D8" w:rsidRDefault="00FA58D8" w:rsidP="00230DED">
            <w:pPr>
              <w:tabs>
                <w:tab w:val="left" w:pos="3165"/>
              </w:tabs>
              <w:jc w:val="center"/>
              <w:rPr>
                <w:rFonts w:ascii="Times New Roman" w:hAnsi="Times New Roman" w:cs="Times New Roman"/>
                <w:sz w:val="16"/>
                <w:szCs w:val="16"/>
              </w:rPr>
            </w:pPr>
          </w:p>
          <w:p w:rsidR="00230DED" w:rsidRPr="00D423B2" w:rsidRDefault="00230DED" w:rsidP="00230DED">
            <w:pPr>
              <w:tabs>
                <w:tab w:val="left" w:pos="3165"/>
              </w:tabs>
              <w:jc w:val="center"/>
              <w:rPr>
                <w:rFonts w:ascii="Times New Roman" w:hAnsi="Times New Roman" w:cs="Times New Roman"/>
                <w:sz w:val="16"/>
                <w:szCs w:val="16"/>
              </w:rPr>
            </w:pPr>
            <w:r w:rsidRPr="00D423B2">
              <w:rPr>
                <w:rFonts w:ascii="Times New Roman" w:hAnsi="Times New Roman" w:cs="Times New Roman"/>
                <w:sz w:val="16"/>
                <w:szCs w:val="16"/>
              </w:rPr>
              <w:t>Рис.24. Динамика отпуска тепловой энергии</w:t>
            </w:r>
          </w:p>
          <w:p w:rsidR="00230DED" w:rsidRPr="00D423B2" w:rsidRDefault="00230DED" w:rsidP="00230DED">
            <w:pPr>
              <w:tabs>
                <w:tab w:val="left" w:pos="3165"/>
              </w:tabs>
              <w:jc w:val="center"/>
              <w:rPr>
                <w:rFonts w:ascii="Times New Roman" w:hAnsi="Times New Roman" w:cs="Times New Roman"/>
                <w:sz w:val="24"/>
                <w:szCs w:val="24"/>
              </w:rPr>
            </w:pPr>
          </w:p>
          <w:p w:rsidR="00F76C45" w:rsidRPr="00D423B2" w:rsidRDefault="00230DED" w:rsidP="00F76C45">
            <w:pPr>
              <w:autoSpaceDE w:val="0"/>
              <w:autoSpaceDN w:val="0"/>
              <w:adjustRightInd w:val="0"/>
              <w:spacing w:before="220"/>
              <w:jc w:val="both"/>
              <w:rPr>
                <w:rFonts w:ascii="Times New Roman" w:eastAsia="Times New Roman" w:hAnsi="Times New Roman" w:cs="Times New Roman"/>
                <w:sz w:val="24"/>
                <w:szCs w:val="24"/>
                <w:lang w:eastAsia="ru-RU"/>
              </w:rPr>
            </w:pPr>
            <w:r w:rsidRPr="00D423B2">
              <w:rPr>
                <w:rFonts w:ascii="Times New Roman" w:hAnsi="Times New Roman" w:cs="Times New Roman"/>
                <w:sz w:val="24"/>
                <w:szCs w:val="24"/>
              </w:rPr>
              <w:t>4.1.2. Прогноз производства и потребления</w:t>
            </w:r>
            <w:r w:rsidR="00F76C45" w:rsidRPr="00D423B2">
              <w:rPr>
                <w:rFonts w:ascii="Times New Roman" w:eastAsia="Times New Roman" w:hAnsi="Times New Roman" w:cs="Times New Roman"/>
                <w:sz w:val="24"/>
                <w:szCs w:val="24"/>
                <w:lang w:eastAsia="ru-RU"/>
              </w:rPr>
              <w:t xml:space="preserve">           </w:t>
            </w:r>
            <w:r w:rsidR="00F76C45" w:rsidRPr="00D423B2">
              <w:rPr>
                <w:rFonts w:ascii="Times New Roman" w:hAnsi="Times New Roman" w:cs="Times New Roman"/>
                <w:sz w:val="24"/>
                <w:szCs w:val="24"/>
              </w:rPr>
              <w:t>электрической и тепловой энергии</w:t>
            </w:r>
          </w:p>
          <w:p w:rsidR="00A602DF" w:rsidRDefault="00F76C45" w:rsidP="00CC7C28">
            <w:pPr>
              <w:autoSpaceDE w:val="0"/>
              <w:autoSpaceDN w:val="0"/>
              <w:adjustRightInd w:val="0"/>
              <w:spacing w:before="220"/>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 xml:space="preserve">           </w:t>
            </w:r>
            <w:r w:rsidR="00CC7C28" w:rsidRPr="00CC7C28">
              <w:rPr>
                <w:rFonts w:ascii="Times New Roman" w:eastAsia="Times New Roman" w:hAnsi="Times New Roman" w:cs="Times New Roman"/>
                <w:sz w:val="24"/>
                <w:szCs w:val="24"/>
                <w:lang w:eastAsia="ru-RU"/>
              </w:rPr>
              <w:t xml:space="preserve">В связи с развитием промышленного производства Республики Татарстан рост потребления электрической энергии планируется и в последующие годы: </w:t>
            </w:r>
            <w:r w:rsidR="00CC7C28" w:rsidRPr="00CC7C28">
              <w:rPr>
                <w:rFonts w:ascii="Times New Roman" w:eastAsia="Times New Roman" w:hAnsi="Times New Roman" w:cs="Times New Roman"/>
                <w:sz w:val="24"/>
                <w:szCs w:val="24"/>
                <w:lang w:eastAsia="ru-RU"/>
              </w:rPr>
              <w:br/>
              <w:t xml:space="preserve">в 2020 году – на 6,7 процента по сравнению с 2017 годом, в 2025 году – </w:t>
            </w:r>
            <w:r w:rsidR="00CC7C28" w:rsidRPr="00CC7C28">
              <w:rPr>
                <w:rFonts w:ascii="Times New Roman" w:eastAsia="Times New Roman" w:hAnsi="Times New Roman" w:cs="Times New Roman"/>
                <w:sz w:val="24"/>
                <w:szCs w:val="24"/>
                <w:lang w:eastAsia="ru-RU"/>
              </w:rPr>
              <w:br/>
              <w:t>на 15,4 процента, в 2030 году – на 20,5 процента. Соответственно, будут расти и пиковые нагрузки энергосистемы (4 748 МВт к 2030 году, что на 425 МВт выше показателя 2017 года).</w:t>
            </w:r>
          </w:p>
          <w:p w:rsidR="00A602DF" w:rsidRPr="00CC7C28" w:rsidRDefault="00A602DF" w:rsidP="00CC7C28">
            <w:pPr>
              <w:autoSpaceDE w:val="0"/>
              <w:autoSpaceDN w:val="0"/>
              <w:adjustRightInd w:val="0"/>
              <w:spacing w:before="220"/>
              <w:jc w:val="both"/>
              <w:rPr>
                <w:rFonts w:ascii="Times New Roman" w:eastAsia="Times New Roman" w:hAnsi="Times New Roman" w:cs="Times New Roman"/>
                <w:sz w:val="24"/>
                <w:szCs w:val="24"/>
                <w:lang w:eastAsia="ru-RU"/>
              </w:rPr>
            </w:pPr>
          </w:p>
          <w:p w:rsidR="00230DED" w:rsidRPr="00D423B2" w:rsidRDefault="008F0269" w:rsidP="00230DED">
            <w:pPr>
              <w:tabs>
                <w:tab w:val="left" w:pos="3165"/>
              </w:tabs>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48CFD820" wp14:editId="68A32C5F">
                  <wp:extent cx="2723291" cy="1226185"/>
                  <wp:effectExtent l="0" t="0" r="127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34605" cy="1231279"/>
                          </a:xfrm>
                          <a:prstGeom prst="rect">
                            <a:avLst/>
                          </a:prstGeom>
                          <a:noFill/>
                        </pic:spPr>
                      </pic:pic>
                    </a:graphicData>
                  </a:graphic>
                </wp:inline>
              </w:drawing>
            </w:r>
          </w:p>
          <w:p w:rsidR="00655F4E" w:rsidRPr="00D423B2" w:rsidRDefault="00655F4E" w:rsidP="00655F4E">
            <w:pPr>
              <w:autoSpaceDE w:val="0"/>
              <w:autoSpaceDN w:val="0"/>
              <w:adjustRightInd w:val="0"/>
              <w:jc w:val="center"/>
              <w:rPr>
                <w:rFonts w:ascii="Times New Roman" w:eastAsia="Times New Roman" w:hAnsi="Times New Roman" w:cs="Times New Roman"/>
                <w:sz w:val="24"/>
                <w:szCs w:val="24"/>
                <w:lang w:eastAsia="ru-RU"/>
              </w:rPr>
            </w:pPr>
          </w:p>
          <w:p w:rsidR="00B930E2" w:rsidRDefault="00B930E2" w:rsidP="00B930E2">
            <w:pPr>
              <w:autoSpaceDE w:val="0"/>
              <w:autoSpaceDN w:val="0"/>
              <w:adjustRightInd w:val="0"/>
              <w:jc w:val="center"/>
              <w:rPr>
                <w:rFonts w:ascii="Times New Roman" w:eastAsia="Times New Roman" w:hAnsi="Times New Roman" w:cs="Times New Roman"/>
                <w:sz w:val="16"/>
                <w:szCs w:val="16"/>
                <w:lang w:eastAsia="ru-RU"/>
              </w:rPr>
            </w:pPr>
            <w:r w:rsidRPr="00B930E2">
              <w:rPr>
                <w:rFonts w:ascii="Times New Roman" w:eastAsia="Times New Roman" w:hAnsi="Times New Roman" w:cs="Times New Roman"/>
                <w:sz w:val="16"/>
                <w:szCs w:val="16"/>
                <w:lang w:eastAsia="ru-RU"/>
              </w:rPr>
              <w:t xml:space="preserve">Рис. 24. Прогноз динамики потребления электрической энергии в Республике Татарстан </w:t>
            </w:r>
          </w:p>
          <w:p w:rsidR="00B930E2" w:rsidRPr="00B930E2" w:rsidRDefault="00B930E2" w:rsidP="00B930E2">
            <w:pPr>
              <w:autoSpaceDE w:val="0"/>
              <w:autoSpaceDN w:val="0"/>
              <w:adjustRightInd w:val="0"/>
              <w:jc w:val="center"/>
              <w:rPr>
                <w:rFonts w:ascii="Times New Roman" w:eastAsia="Times New Roman" w:hAnsi="Times New Roman" w:cs="Times New Roman"/>
                <w:sz w:val="16"/>
                <w:szCs w:val="16"/>
                <w:lang w:eastAsia="ru-RU"/>
              </w:rPr>
            </w:pPr>
          </w:p>
          <w:p w:rsidR="005E1848" w:rsidRPr="00D423B2" w:rsidRDefault="008664A7" w:rsidP="00230DED">
            <w:pPr>
              <w:tabs>
                <w:tab w:val="left" w:pos="3165"/>
              </w:tabs>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56EA362A" wp14:editId="722CDA8C">
                  <wp:extent cx="2795530" cy="1028700"/>
                  <wp:effectExtent l="0" t="0" r="508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12037" cy="1034774"/>
                          </a:xfrm>
                          <a:prstGeom prst="rect">
                            <a:avLst/>
                          </a:prstGeom>
                          <a:noFill/>
                        </pic:spPr>
                      </pic:pic>
                    </a:graphicData>
                  </a:graphic>
                </wp:inline>
              </w:drawing>
            </w:r>
          </w:p>
          <w:p w:rsidR="005E1848" w:rsidRPr="00D423B2" w:rsidRDefault="005E1848" w:rsidP="005E1848">
            <w:pPr>
              <w:rPr>
                <w:rFonts w:ascii="Times New Roman" w:hAnsi="Times New Roman" w:cs="Times New Roman"/>
                <w:sz w:val="24"/>
                <w:szCs w:val="24"/>
              </w:rPr>
            </w:pPr>
          </w:p>
          <w:p w:rsidR="000154D2" w:rsidRPr="000154D2" w:rsidRDefault="005E1848" w:rsidP="000154D2">
            <w:pPr>
              <w:autoSpaceDE w:val="0"/>
              <w:autoSpaceDN w:val="0"/>
              <w:adjustRightInd w:val="0"/>
              <w:jc w:val="center"/>
              <w:rPr>
                <w:rFonts w:ascii="Times New Roman" w:eastAsia="Times New Roman" w:hAnsi="Times New Roman" w:cs="Times New Roman"/>
                <w:sz w:val="16"/>
                <w:szCs w:val="16"/>
                <w:lang w:eastAsia="ru-RU"/>
              </w:rPr>
            </w:pPr>
            <w:r w:rsidRPr="00D423B2">
              <w:rPr>
                <w:rFonts w:ascii="Times New Roman" w:hAnsi="Times New Roman" w:cs="Times New Roman"/>
                <w:sz w:val="24"/>
                <w:szCs w:val="24"/>
              </w:rPr>
              <w:tab/>
            </w:r>
            <w:r w:rsidR="000154D2" w:rsidRPr="000154D2">
              <w:rPr>
                <w:rFonts w:ascii="Times New Roman" w:eastAsia="Times New Roman" w:hAnsi="Times New Roman" w:cs="Times New Roman"/>
                <w:sz w:val="16"/>
                <w:szCs w:val="16"/>
                <w:lang w:eastAsia="ru-RU"/>
              </w:rPr>
              <w:t>Рис. 25. Прогноз динамики годовых пиковых нагрузок в Республике Татарстан</w:t>
            </w:r>
          </w:p>
          <w:p w:rsidR="005E1848" w:rsidRPr="00D423B2" w:rsidRDefault="005E1848" w:rsidP="005E1848">
            <w:pPr>
              <w:autoSpaceDE w:val="0"/>
              <w:autoSpaceDN w:val="0"/>
              <w:adjustRightInd w:val="0"/>
              <w:jc w:val="center"/>
              <w:rPr>
                <w:rFonts w:ascii="Times New Roman" w:eastAsia="Times New Roman" w:hAnsi="Times New Roman" w:cs="Times New Roman"/>
                <w:sz w:val="16"/>
                <w:szCs w:val="16"/>
                <w:lang w:eastAsia="ru-RU"/>
              </w:rPr>
            </w:pPr>
          </w:p>
          <w:p w:rsidR="00060C8E" w:rsidRPr="00060C8E" w:rsidRDefault="00060C8E" w:rsidP="00060C8E">
            <w:pPr>
              <w:autoSpaceDE w:val="0"/>
              <w:autoSpaceDN w:val="0"/>
              <w:adjustRightInd w:val="0"/>
              <w:ind w:firstLine="540"/>
              <w:jc w:val="both"/>
              <w:rPr>
                <w:rFonts w:ascii="Times New Roman" w:eastAsia="Times New Roman" w:hAnsi="Times New Roman" w:cs="Times New Roman"/>
                <w:sz w:val="24"/>
                <w:szCs w:val="24"/>
                <w:lang w:eastAsia="ru-RU"/>
              </w:rPr>
            </w:pPr>
            <w:r w:rsidRPr="00060C8E">
              <w:rPr>
                <w:rFonts w:ascii="Times New Roman" w:eastAsia="Times New Roman" w:hAnsi="Times New Roman" w:cs="Times New Roman"/>
                <w:sz w:val="24"/>
                <w:szCs w:val="24"/>
                <w:lang w:eastAsia="ru-RU"/>
              </w:rPr>
              <w:t>В связи с ежегодным наращиванием темпов развития и, как следствие, увеличением потребления электрической энергии и мощности потребителями, Республике Татарстан необходимо увеличение производства энергоресурсов.</w:t>
            </w:r>
          </w:p>
          <w:p w:rsidR="005E1848" w:rsidRPr="00D423B2" w:rsidRDefault="005E1848" w:rsidP="005E1848">
            <w:pPr>
              <w:ind w:hanging="142"/>
              <w:jc w:val="both"/>
              <w:rPr>
                <w:rFonts w:ascii="Times New Roman" w:eastAsia="Times New Roman" w:hAnsi="Times New Roman" w:cs="Times New Roman"/>
                <w:bCs/>
                <w:iCs/>
                <w:sz w:val="24"/>
                <w:szCs w:val="24"/>
                <w:lang w:eastAsia="ru-RU"/>
              </w:rPr>
            </w:pPr>
          </w:p>
          <w:p w:rsidR="00655F4E" w:rsidRPr="00D423B2" w:rsidRDefault="005E1848" w:rsidP="005E1848">
            <w:pPr>
              <w:tabs>
                <w:tab w:val="left" w:pos="1515"/>
              </w:tabs>
              <w:jc w:val="center"/>
              <w:rPr>
                <w:rFonts w:ascii="Times New Roman" w:hAnsi="Times New Roman" w:cs="Times New Roman"/>
                <w:sz w:val="24"/>
                <w:szCs w:val="24"/>
              </w:rPr>
            </w:pPr>
            <w:r w:rsidRPr="00D423B2">
              <w:rPr>
                <w:rFonts w:ascii="Times New Roman" w:hAnsi="Times New Roman" w:cs="Times New Roman"/>
                <w:noProof/>
                <w:sz w:val="24"/>
                <w:szCs w:val="24"/>
                <w:lang w:eastAsia="ru-RU"/>
              </w:rPr>
              <w:drawing>
                <wp:inline distT="0" distB="0" distL="0" distR="0" wp14:anchorId="3DC91F46" wp14:editId="67C1A85A">
                  <wp:extent cx="2621280" cy="939165"/>
                  <wp:effectExtent l="0" t="0" r="762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21280" cy="939165"/>
                          </a:xfrm>
                          <a:prstGeom prst="rect">
                            <a:avLst/>
                          </a:prstGeom>
                          <a:noFill/>
                        </pic:spPr>
                      </pic:pic>
                    </a:graphicData>
                  </a:graphic>
                </wp:inline>
              </w:drawing>
            </w:r>
          </w:p>
          <w:p w:rsidR="00ED7FEE" w:rsidRDefault="00ED7FEE" w:rsidP="00B70D59">
            <w:pPr>
              <w:tabs>
                <w:tab w:val="left" w:pos="1515"/>
              </w:tabs>
              <w:jc w:val="center"/>
              <w:rPr>
                <w:rFonts w:ascii="Times New Roman" w:hAnsi="Times New Roman" w:cs="Times New Roman"/>
                <w:sz w:val="16"/>
                <w:szCs w:val="16"/>
              </w:rPr>
            </w:pPr>
          </w:p>
          <w:p w:rsidR="00B70D59" w:rsidRPr="00B70D59" w:rsidRDefault="00B70D59" w:rsidP="00B70D59">
            <w:pPr>
              <w:tabs>
                <w:tab w:val="left" w:pos="1515"/>
              </w:tabs>
              <w:jc w:val="center"/>
              <w:rPr>
                <w:rFonts w:ascii="Times New Roman" w:hAnsi="Times New Roman" w:cs="Times New Roman"/>
                <w:sz w:val="16"/>
                <w:szCs w:val="16"/>
              </w:rPr>
            </w:pPr>
            <w:r w:rsidRPr="00B70D59">
              <w:rPr>
                <w:rFonts w:ascii="Times New Roman" w:hAnsi="Times New Roman" w:cs="Times New Roman"/>
                <w:sz w:val="16"/>
                <w:szCs w:val="16"/>
              </w:rPr>
              <w:t xml:space="preserve">Рис. 26. Прогноз выработки электростанциями электрической энергии </w:t>
            </w:r>
          </w:p>
          <w:p w:rsidR="005E1848" w:rsidRPr="00D423B2" w:rsidRDefault="005E1848" w:rsidP="005E1848">
            <w:pPr>
              <w:tabs>
                <w:tab w:val="left" w:pos="1515"/>
              </w:tabs>
              <w:jc w:val="center"/>
              <w:rPr>
                <w:rFonts w:ascii="Times New Roman" w:hAnsi="Times New Roman" w:cs="Times New Roman"/>
                <w:sz w:val="16"/>
                <w:szCs w:val="16"/>
              </w:rPr>
            </w:pPr>
          </w:p>
          <w:p w:rsidR="005E1848" w:rsidRPr="00D423B2" w:rsidRDefault="005E1848" w:rsidP="00D7652C">
            <w:pPr>
              <w:tabs>
                <w:tab w:val="left" w:pos="1515"/>
              </w:tabs>
              <w:jc w:val="center"/>
              <w:rPr>
                <w:rFonts w:ascii="Times New Roman" w:hAnsi="Times New Roman" w:cs="Times New Roman"/>
                <w:sz w:val="24"/>
                <w:szCs w:val="24"/>
              </w:rPr>
            </w:pPr>
            <w:r w:rsidRPr="00D423B2">
              <w:rPr>
                <w:rFonts w:ascii="Times New Roman" w:hAnsi="Times New Roman" w:cs="Times New Roman"/>
                <w:noProof/>
                <w:sz w:val="16"/>
                <w:szCs w:val="16"/>
                <w:lang w:eastAsia="ru-RU"/>
              </w:rPr>
              <w:drawing>
                <wp:inline distT="0" distB="0" distL="0" distR="0" wp14:anchorId="0B64826E" wp14:editId="29EC617F">
                  <wp:extent cx="2675613" cy="104775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78235" cy="1048777"/>
                          </a:xfrm>
                          <a:prstGeom prst="rect">
                            <a:avLst/>
                          </a:prstGeom>
                          <a:noFill/>
                        </pic:spPr>
                      </pic:pic>
                    </a:graphicData>
                  </a:graphic>
                </wp:inline>
              </w:drawing>
            </w:r>
          </w:p>
          <w:p w:rsidR="00A021AD" w:rsidRDefault="00A021AD" w:rsidP="00D7652C">
            <w:pPr>
              <w:autoSpaceDE w:val="0"/>
              <w:autoSpaceDN w:val="0"/>
              <w:adjustRightInd w:val="0"/>
              <w:jc w:val="center"/>
              <w:rPr>
                <w:rFonts w:ascii="Times New Roman" w:eastAsia="Times New Roman" w:hAnsi="Times New Roman" w:cs="Times New Roman"/>
                <w:sz w:val="16"/>
                <w:szCs w:val="16"/>
                <w:lang w:eastAsia="ru-RU"/>
              </w:rPr>
            </w:pPr>
          </w:p>
          <w:p w:rsidR="00A021AD" w:rsidRPr="00A021AD" w:rsidRDefault="00A021AD" w:rsidP="00A021AD">
            <w:pPr>
              <w:autoSpaceDE w:val="0"/>
              <w:autoSpaceDN w:val="0"/>
              <w:adjustRightInd w:val="0"/>
              <w:jc w:val="center"/>
              <w:rPr>
                <w:rFonts w:ascii="Times New Roman" w:eastAsia="Times New Roman" w:hAnsi="Times New Roman" w:cs="Times New Roman"/>
                <w:sz w:val="16"/>
                <w:szCs w:val="16"/>
                <w:lang w:eastAsia="ru-RU"/>
              </w:rPr>
            </w:pPr>
            <w:r w:rsidRPr="00A021AD">
              <w:rPr>
                <w:rFonts w:ascii="Times New Roman" w:eastAsia="Times New Roman" w:hAnsi="Times New Roman" w:cs="Times New Roman"/>
                <w:sz w:val="16"/>
                <w:szCs w:val="16"/>
                <w:lang w:eastAsia="ru-RU"/>
              </w:rPr>
              <w:t>Рис. 27. Прогноз отпуска тепловой энергии</w:t>
            </w:r>
          </w:p>
          <w:p w:rsidR="00D7652C" w:rsidRPr="00D423B2" w:rsidRDefault="00D7652C" w:rsidP="00D7652C">
            <w:pPr>
              <w:autoSpaceDE w:val="0"/>
              <w:autoSpaceDN w:val="0"/>
              <w:adjustRightInd w:val="0"/>
              <w:ind w:firstLine="709"/>
              <w:jc w:val="both"/>
              <w:rPr>
                <w:rFonts w:ascii="Times New Roman" w:eastAsia="Times New Roman" w:hAnsi="Times New Roman" w:cs="Times New Roman"/>
                <w:sz w:val="24"/>
                <w:szCs w:val="24"/>
                <w:lang w:eastAsia="ru-RU"/>
              </w:rPr>
            </w:pPr>
          </w:p>
          <w:p w:rsidR="00A00F54" w:rsidRPr="00A00F54" w:rsidRDefault="00A00F54" w:rsidP="00A00F54">
            <w:pPr>
              <w:autoSpaceDE w:val="0"/>
              <w:autoSpaceDN w:val="0"/>
              <w:adjustRightInd w:val="0"/>
              <w:ind w:firstLine="709"/>
              <w:jc w:val="both"/>
              <w:rPr>
                <w:rFonts w:ascii="Times New Roman" w:eastAsia="Times New Roman" w:hAnsi="Times New Roman" w:cs="Times New Roman"/>
                <w:sz w:val="24"/>
                <w:szCs w:val="24"/>
                <w:lang w:eastAsia="ru-RU"/>
              </w:rPr>
            </w:pPr>
            <w:r w:rsidRPr="00A00F54">
              <w:rPr>
                <w:rFonts w:ascii="Times New Roman" w:eastAsia="Times New Roman" w:hAnsi="Times New Roman" w:cs="Times New Roman"/>
                <w:sz w:val="24"/>
                <w:szCs w:val="24"/>
                <w:lang w:eastAsia="ru-RU"/>
              </w:rPr>
              <w:t>Несмотря на рост объемов производства в промышленности, уровень отпуска тепловой энергии потребителям растет незначительно, что связано с широкомасштабным внедрением мероприятий по энергосбережению крупными промышленными предприятиями. В перспективе необходимо увеличивать долю производства тепловой энергии в режиме комбинированной выработки.</w:t>
            </w:r>
          </w:p>
          <w:p w:rsidR="00D7652C" w:rsidRPr="00D423B2" w:rsidRDefault="00D7652C" w:rsidP="00D7652C">
            <w:pPr>
              <w:jc w:val="center"/>
              <w:rPr>
                <w:rFonts w:ascii="Times New Roman" w:eastAsia="Times New Roman" w:hAnsi="Times New Roman" w:cs="Times New Roman"/>
                <w:b/>
                <w:sz w:val="28"/>
                <w:szCs w:val="28"/>
                <w:lang w:eastAsia="ru-RU"/>
              </w:rPr>
            </w:pPr>
          </w:p>
          <w:p w:rsidR="00D7652C" w:rsidRPr="00D423B2" w:rsidRDefault="00D7652C" w:rsidP="00D7652C">
            <w:pPr>
              <w:jc w:val="center"/>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4.2. Основные направления развития энергосистемы Республики Татарстан</w:t>
            </w:r>
          </w:p>
          <w:p w:rsidR="00C02A10" w:rsidRPr="00C57323"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Стратегическими целями развития энергетического комплекса Республики Татарстан являются:</w:t>
            </w:r>
          </w:p>
          <w:p w:rsidR="00C02A10" w:rsidRPr="00C57323"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сбалансированное развитие электроэнергетического комплекса, как одного из ключевых элементов экономики Республики Татарстан, а также обеспечение конкурентоспособности региональной экономики в целом, энергетической независимости и безопасности республики за счет производства необходимого количества энергии на объектах генерации энергосистемы Республики Татарстан по конкурентным ценам на основе применения новых технологий, высокого качества и высокого уровня надежности энергоснабжения потребителей;</w:t>
            </w:r>
          </w:p>
          <w:p w:rsidR="00C02A10" w:rsidRPr="00C57323"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повышение конкурентоспособности и обеспечение устойчивого развития энергетической отрасли на базе новых современных технологий;</w:t>
            </w:r>
          </w:p>
          <w:p w:rsidR="00C02A10" w:rsidRPr="00C57323" w:rsidRDefault="00C02A10" w:rsidP="00C02A10">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обеспечение надежного и качественного энергоснабжения потребителей Республики Татарстан;</w:t>
            </w:r>
          </w:p>
          <w:p w:rsidR="00C02A10" w:rsidRPr="00C57323" w:rsidRDefault="00C02A10" w:rsidP="00C02A10">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обеспечение доступности и оперативности технологического присоединения;</w:t>
            </w:r>
          </w:p>
          <w:p w:rsidR="00C02A10" w:rsidRPr="00C57323" w:rsidRDefault="00C02A10" w:rsidP="00C02A10">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повышение качества обслуживания потребителей;</w:t>
            </w:r>
          </w:p>
          <w:p w:rsidR="00C02A10" w:rsidRPr="00C57323"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снижение уровня негативного воздействия на окружающую среду.</w:t>
            </w:r>
          </w:p>
          <w:p w:rsidR="00C02A10" w:rsidRPr="00C57323"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Для реализации указанных целей первостепенное значение имеет модернизация производственных объектов энергосистемы.</w:t>
            </w:r>
          </w:p>
          <w:p w:rsidR="00C02A10" w:rsidRPr="00C57323"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Основные принципы модернизации энергосистемы Республики Татарстан:</w:t>
            </w:r>
          </w:p>
          <w:p w:rsidR="00C02A10" w:rsidRPr="00C57323"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ликвидация дефицита экономичной электрической мощности в республике;</w:t>
            </w:r>
          </w:p>
          <w:p w:rsidR="00C02A10" w:rsidRPr="00C57323"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приоритетный ввод объектов, обеспечивающих комбинированное производство электрической и тепловой энергии, снижение удельных расходов топлива, а также уменьшающих негативное воздействие на окружающую среду с вытеснением действующих газовых котельных в зону пиковых тепловых нагрузок;</w:t>
            </w:r>
          </w:p>
          <w:p w:rsidR="00C02A10" w:rsidRPr="00C57323" w:rsidRDefault="00C02A10" w:rsidP="00C02A10">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обеспечение приоритета отпуска тепловой энергии от источников комбинированной выработки тепловой и электрической энергии;</w:t>
            </w:r>
          </w:p>
          <w:p w:rsidR="00C02A10" w:rsidRPr="00C57323" w:rsidRDefault="00C02A10" w:rsidP="00C02A10">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повышение эффективности передачи тепловой энергии в системах централизованного теплоснабжения;</w:t>
            </w:r>
          </w:p>
          <w:p w:rsidR="00C02A10" w:rsidRPr="00C57323" w:rsidRDefault="00C02A10" w:rsidP="00C02A10">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обеспечение конкурентоспособности электрической энергии и мощности на ОРЭМ;</w:t>
            </w:r>
          </w:p>
          <w:p w:rsidR="00C02A10" w:rsidRPr="00C57323" w:rsidRDefault="00C02A10" w:rsidP="00C02A10">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 xml:space="preserve">экономически целесообразная для предприятий энергосистемы Республики Татарстан дифференциация используемых видов топлива; </w:t>
            </w:r>
          </w:p>
          <w:p w:rsidR="00C02A10" w:rsidRPr="00C57323"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57323">
              <w:rPr>
                <w:rFonts w:ascii="Times New Roman" w:eastAsia="Times New Roman" w:hAnsi="Times New Roman" w:cs="Times New Roman"/>
                <w:sz w:val="24"/>
                <w:szCs w:val="24"/>
                <w:lang w:eastAsia="ru-RU"/>
              </w:rPr>
              <w:t>обеспечение условий опережающего развития инфраструктуры электроснабжения городов и районов Республики Татарстан для создания возможности технологического присоединения к электрическим сетям.</w:t>
            </w:r>
          </w:p>
          <w:p w:rsidR="00D7652C" w:rsidRPr="00D423B2" w:rsidRDefault="00D7652C" w:rsidP="00D7652C">
            <w:pPr>
              <w:autoSpaceDE w:val="0"/>
              <w:autoSpaceDN w:val="0"/>
              <w:adjustRightInd w:val="0"/>
              <w:ind w:firstLine="709"/>
              <w:jc w:val="both"/>
              <w:rPr>
                <w:rFonts w:ascii="Times New Roman" w:eastAsia="Times New Roman" w:hAnsi="Times New Roman" w:cs="Times New Roman"/>
                <w:sz w:val="24"/>
                <w:szCs w:val="24"/>
                <w:lang w:eastAsia="ru-RU"/>
              </w:rPr>
            </w:pPr>
          </w:p>
          <w:p w:rsidR="00D7652C" w:rsidRPr="00D423B2" w:rsidRDefault="00D7652C" w:rsidP="00D7652C">
            <w:pPr>
              <w:autoSpaceDE w:val="0"/>
              <w:autoSpaceDN w:val="0"/>
              <w:adjustRightInd w:val="0"/>
              <w:ind w:firstLine="709"/>
              <w:jc w:val="both"/>
              <w:rPr>
                <w:rFonts w:ascii="Times New Roman" w:eastAsia="Times New Roman" w:hAnsi="Times New Roman" w:cs="Times New Roman"/>
                <w:sz w:val="24"/>
                <w:szCs w:val="24"/>
                <w:lang w:eastAsia="ru-RU"/>
              </w:rPr>
            </w:pPr>
          </w:p>
          <w:p w:rsidR="00D7652C" w:rsidRPr="00D423B2" w:rsidRDefault="00D7652C" w:rsidP="00D7652C">
            <w:pPr>
              <w:widowControl w:val="0"/>
              <w:autoSpaceDE w:val="0"/>
              <w:autoSpaceDN w:val="0"/>
              <w:ind w:firstLine="709"/>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4.2.1. Развитие генерирующих мощностей</w:t>
            </w:r>
          </w:p>
          <w:p w:rsidR="00C02A10" w:rsidRDefault="00C02A10" w:rsidP="00D7652C">
            <w:pPr>
              <w:autoSpaceDE w:val="0"/>
              <w:autoSpaceDN w:val="0"/>
              <w:adjustRightInd w:val="0"/>
              <w:ind w:firstLine="709"/>
              <w:jc w:val="both"/>
              <w:rPr>
                <w:rFonts w:ascii="Times New Roman" w:eastAsia="Times New Roman" w:hAnsi="Times New Roman" w:cs="Times New Roman"/>
                <w:sz w:val="24"/>
                <w:szCs w:val="24"/>
                <w:lang w:eastAsia="ru-RU"/>
              </w:rPr>
            </w:pP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В целях повышения надежности энергоснабжения потребителей, обеспечения энергетической безопасности и самодостаточности Республики Татарстан, обновления генерирующих мощностей и электросетевого хозяйства предприятиями энергокомплекса выполнены и планируются к реализации проекты по вводу новых мощностей и реконструкции существующих.</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декабре 2014 года ОАО «Генерирующая компания» (АО «Татэнерго») завершено строительство парогазовой установки (далее – ПГУ) мощностью </w:t>
            </w:r>
            <w:r w:rsidRPr="00C02A10">
              <w:rPr>
                <w:rFonts w:ascii="Times New Roman" w:eastAsia="Times New Roman" w:hAnsi="Times New Roman" w:cs="Times New Roman"/>
                <w:sz w:val="24"/>
                <w:szCs w:val="24"/>
                <w:lang w:eastAsia="ru-RU"/>
              </w:rPr>
              <w:br/>
              <w:t>220 МВт на Казанской ТЭЦ-2.</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конце 2015 года на ООО «Нижнекамская ТЭЦ» был реализован проект по увеличению электрической мощности станции на 350 МВт.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В июле 2017 года ОАО «ТГК-16» завершены работы по реализации инвестиционного проекта «Модернизация Казанской ТЭЦ-3 на базе ГТУ», мощность которой по результатам аттестационных испытаний составила 394,4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августе 2018 года АО «Татэнерго» на Казанской ТЭЦ-1 завершено строительство двух ПГУ. Суммарная установленная мощность по результатам аттестационных испытаний составила 246 МВт.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планах ПАО «Казаньоргсинтез» к 2021 году намечено строительство </w:t>
            </w:r>
            <w:r w:rsidRPr="00C02A10">
              <w:rPr>
                <w:rFonts w:ascii="Times New Roman" w:eastAsia="Times New Roman" w:hAnsi="Times New Roman" w:cs="Times New Roman"/>
                <w:sz w:val="24"/>
                <w:szCs w:val="24"/>
                <w:lang w:eastAsia="ru-RU"/>
              </w:rPr>
              <w:br/>
              <w:t>ПГУ мощностью 250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случае принятия Правительством Российской Федерации решения, обеспечивающего возврат средств, вложенных в реализацию проектов по реконструкции (техническому перевооружению, модернизации) тепловых электрических станций, и включения данного объекта в указанную программу планируется к реализации проект «Строительство объекта ПГУ мощностью </w:t>
            </w:r>
            <w:r w:rsidRPr="00C02A10">
              <w:rPr>
                <w:rFonts w:ascii="Times New Roman" w:eastAsia="Times New Roman" w:hAnsi="Times New Roman" w:cs="Times New Roman"/>
                <w:sz w:val="24"/>
                <w:szCs w:val="24"/>
                <w:lang w:eastAsia="ru-RU"/>
              </w:rPr>
              <w:br/>
              <w:t>1600-1800 МВт на филиале АО «Татэнерго» Заинская ГРЭС» с замещающим выводом из эксплуатации 8 конденсационных блоков ГРЭС.</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В последующий после 2023 года период планируется частичное замещение паросиловых мощностей Набережночелнинской ТЭЦ на энергоустановки с использованием парогазовых технологий, а также увеличение рабочей мощности Нижнекамской ГЭС при поднятии уровня Нижнекамского водохранилища до проектной отметки 68 метров (для проекта по Нижнекамской ГЭС в случае принятия соответствующего решения Правительством Российской Федерации).</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планах АО «ТАИФ» к 2021 году намечено строительство ПГУ мощностью </w:t>
            </w:r>
            <w:r w:rsidRPr="00C02A10">
              <w:rPr>
                <w:rFonts w:ascii="Times New Roman" w:eastAsia="Times New Roman" w:hAnsi="Times New Roman" w:cs="Times New Roman"/>
                <w:sz w:val="24"/>
                <w:szCs w:val="24"/>
                <w:lang w:eastAsia="ru-RU"/>
              </w:rPr>
              <w:br/>
              <w:t>495 МВт для ПАО «Нижнекамскнефтехим».</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Кроме того, АО «ТАИФ» на генерирующих объектах АО «ТГК-16» планирует следующие проекты:</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строительство в 2022 – 2025 годах на Нижнекамской ТЭЦ ПТК-1 новой надстройки ГТУ SGT5 8000H (140+30ATA) мощностью 435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модернизация в 2023 – 2025 годах на Нижнекамской ТЭЦ ПТК-1 турбоагрегата ст. № 3 (ТГ-3) мощностью 102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Также в республике в 2022 году планируется строительство завода по термическому обезвреживанию твердых коммунальных отходов (ТКО) с выработкой в единую энергетическую систему (далее – ЕЭС) электрической мощности величиной 55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Рост объектов распределенной (розничной) генерации также предполагается за счет установки в котельных газотурбинного оборудования.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Рост выработки электроэнергии в республике также возможен за счет внедрения в котельных газотурбинного оборудования, обеспечивающего комбинированное производство электрической и тепловой энергии.</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настоящее время Республика Татарстан, являясь одним из лидирующих регионов ПФО и занимая активную позицию по вопросам развития объектов распределенной генерации, имеет положительный опыт в этом направлении.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частности, в Зеленодольском районе Республики Татарстан в 2014 году запущен крупнейший в России объект малой энергетики – энергоцентр «Майский», который представляет собой электростанцию электрической мощностью 23,12 МВт.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ОАО «Альметьевские тепловые сети» в 2016 году реализован проект по строительству малых электростанций на базе районных котельных с суммарной электрической мощностью 24 МВт. </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В Нижнекамском районе на площадке ПАО «Камаз» в 2018 году введены в эксплуатацию три мини-ТЭС «Энергетическое партнерство» на базе </w:t>
            </w:r>
            <w:r w:rsidRPr="00C02A10">
              <w:rPr>
                <w:rFonts w:ascii="Times New Roman" w:eastAsia="Times New Roman" w:hAnsi="Times New Roman" w:cs="Times New Roman"/>
                <w:sz w:val="24"/>
                <w:szCs w:val="24"/>
                <w:lang w:eastAsia="ru-RU"/>
              </w:rPr>
              <w:br/>
              <w:t>ГПУ электрической мощностью 4,168 МВт каждая.</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 xml:space="preserve">На территории </w:t>
            </w:r>
            <w:hyperlink r:id="rId104" w:tooltip="Елабужский район" w:history="1">
              <w:r w:rsidRPr="00C02A10">
                <w:rPr>
                  <w:rStyle w:val="a9"/>
                  <w:rFonts w:ascii="Times New Roman" w:eastAsia="Times New Roman" w:hAnsi="Times New Roman" w:cs="Times New Roman"/>
                  <w:color w:val="000000" w:themeColor="text1"/>
                  <w:sz w:val="24"/>
                  <w:szCs w:val="24"/>
                  <w:u w:val="none"/>
                  <w:lang w:eastAsia="ru-RU"/>
                </w:rPr>
                <w:t>Елабужского района</w:t>
              </w:r>
            </w:hyperlink>
            <w:r w:rsidRPr="00C02A10">
              <w:rPr>
                <w:rFonts w:ascii="Times New Roman" w:eastAsia="Times New Roman" w:hAnsi="Times New Roman" w:cs="Times New Roman"/>
                <w:color w:val="000000" w:themeColor="text1"/>
                <w:sz w:val="24"/>
                <w:szCs w:val="24"/>
                <w:lang w:eastAsia="ru-RU"/>
              </w:rPr>
              <w:t xml:space="preserve"> </w:t>
            </w:r>
            <w:hyperlink r:id="rId105" w:tooltip="Татарстан" w:history="1">
              <w:r w:rsidRPr="00C02A10">
                <w:rPr>
                  <w:rStyle w:val="a9"/>
                  <w:rFonts w:ascii="Times New Roman" w:eastAsia="Times New Roman" w:hAnsi="Times New Roman" w:cs="Times New Roman"/>
                  <w:color w:val="000000" w:themeColor="text1"/>
                  <w:sz w:val="24"/>
                  <w:szCs w:val="24"/>
                  <w:u w:val="none"/>
                  <w:lang w:eastAsia="ru-RU"/>
                </w:rPr>
                <w:t>Республики Татарстан</w:t>
              </w:r>
            </w:hyperlink>
            <w:r w:rsidRPr="00C02A10">
              <w:rPr>
                <w:rFonts w:ascii="Times New Roman" w:eastAsia="Times New Roman" w:hAnsi="Times New Roman" w:cs="Times New Roman"/>
                <w:sz w:val="24"/>
                <w:szCs w:val="24"/>
                <w:lang w:eastAsia="ru-RU"/>
              </w:rPr>
              <w:t xml:space="preserve"> в Камском инновационном территориально-производственном кластере на площадке</w:t>
            </w:r>
            <w:r w:rsidRPr="00C02A10">
              <w:rPr>
                <w:rFonts w:ascii="Times New Roman" w:eastAsia="Times New Roman" w:hAnsi="Times New Roman" w:cs="Times New Roman"/>
                <w:sz w:val="24"/>
                <w:szCs w:val="24"/>
                <w:lang w:eastAsia="ru-RU"/>
              </w:rPr>
              <w:br/>
              <w:t>АО «Особая экономическая зона промышленно-производственного типа «Алабуга» в 2017 году реализованы проекты по строительству малых электростанций мини-ТЭЦ Кастамону ООО «Кастамону Интегрейтед Вуд Индастри» электрической мощностью 24,99 МВт и ГТЭС ООО «Хаят Кимья» электрической мощностью</w:t>
            </w:r>
            <w:r w:rsidRPr="00C02A10">
              <w:rPr>
                <w:rFonts w:ascii="Times New Roman" w:eastAsia="Times New Roman" w:hAnsi="Times New Roman" w:cs="Times New Roman"/>
                <w:sz w:val="24"/>
                <w:szCs w:val="24"/>
                <w:lang w:eastAsia="ru-RU"/>
              </w:rPr>
              <w:br/>
              <w:t>18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В 2019 году на Мини-ТЭЦ Кастамону ООО «Кастамону Интегрейтед Вуд Индастри» планируется ввод в работу второй ГТУ электрической мощностью</w:t>
            </w:r>
            <w:r w:rsidRPr="00C02A10">
              <w:rPr>
                <w:rFonts w:ascii="Times New Roman" w:eastAsia="Times New Roman" w:hAnsi="Times New Roman" w:cs="Times New Roman"/>
                <w:sz w:val="24"/>
                <w:szCs w:val="24"/>
                <w:lang w:eastAsia="ru-RU"/>
              </w:rPr>
              <w:br/>
              <w:t>18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Также для собственных нужд на заводе АО «Аммоний» в г. Менделеевск в 2019 году была введена ГТУ мощностью 24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В 2019 году в г. Елабуга ООО «КЭР-Генерация» реализован проект ГТУ-ТЭС установленной электрической мощностью 20,474 МВт.</w:t>
            </w:r>
          </w:p>
          <w:p w:rsidR="00C02A10" w:rsidRPr="00C02A10" w:rsidRDefault="00C02A10" w:rsidP="00C02A10">
            <w:pPr>
              <w:autoSpaceDE w:val="0"/>
              <w:autoSpaceDN w:val="0"/>
              <w:adjustRightInd w:val="0"/>
              <w:ind w:firstLine="709"/>
              <w:jc w:val="both"/>
              <w:rPr>
                <w:rFonts w:ascii="Times New Roman" w:eastAsia="Times New Roman" w:hAnsi="Times New Roman" w:cs="Times New Roman"/>
                <w:sz w:val="24"/>
                <w:szCs w:val="24"/>
                <w:lang w:eastAsia="ru-RU"/>
              </w:rPr>
            </w:pPr>
            <w:r w:rsidRPr="00C02A10">
              <w:rPr>
                <w:rFonts w:ascii="Times New Roman" w:eastAsia="Times New Roman" w:hAnsi="Times New Roman" w:cs="Times New Roman"/>
                <w:sz w:val="24"/>
                <w:szCs w:val="24"/>
                <w:lang w:eastAsia="ru-RU"/>
              </w:rPr>
              <w:t>Таким образом, установленная мощность энергосистемы Республики Татарстан с учетом объектов распределенной генерации в 2024 году составит 8161,788 МВт.</w:t>
            </w:r>
          </w:p>
          <w:p w:rsidR="00344AF9" w:rsidRPr="00D423B2" w:rsidRDefault="00344AF9" w:rsidP="00344AF9">
            <w:pPr>
              <w:widowControl w:val="0"/>
              <w:autoSpaceDE w:val="0"/>
              <w:autoSpaceDN w:val="0"/>
              <w:ind w:firstLine="709"/>
              <w:outlineLvl w:val="3"/>
              <w:rPr>
                <w:rFonts w:ascii="Times New Roman" w:eastAsia="Times New Roman" w:hAnsi="Times New Roman" w:cs="Times New Roman"/>
                <w:sz w:val="24"/>
                <w:szCs w:val="24"/>
                <w:lang w:eastAsia="ru-RU"/>
              </w:rPr>
            </w:pPr>
          </w:p>
          <w:p w:rsidR="00344AF9" w:rsidRPr="00D423B2" w:rsidRDefault="00344AF9" w:rsidP="00344AF9">
            <w:pPr>
              <w:widowControl w:val="0"/>
              <w:autoSpaceDE w:val="0"/>
              <w:autoSpaceDN w:val="0"/>
              <w:ind w:firstLine="709"/>
              <w:jc w:val="both"/>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4.2.2. Развитие электросетевого хозяйства</w:t>
            </w:r>
          </w:p>
          <w:p w:rsidR="00731FE7" w:rsidRDefault="00731FE7" w:rsidP="00344AF9">
            <w:pPr>
              <w:autoSpaceDE w:val="0"/>
              <w:autoSpaceDN w:val="0"/>
              <w:adjustRightInd w:val="0"/>
              <w:ind w:firstLine="709"/>
              <w:jc w:val="both"/>
              <w:rPr>
                <w:rFonts w:ascii="Times New Roman" w:eastAsia="Times New Roman" w:hAnsi="Times New Roman" w:cs="Times New Roman"/>
                <w:sz w:val="24"/>
                <w:szCs w:val="24"/>
                <w:lang w:eastAsia="ru-RU"/>
              </w:rPr>
            </w:pPr>
          </w:p>
          <w:p w:rsidR="00731FE7" w:rsidRPr="00731FE7" w:rsidRDefault="00731FE7" w:rsidP="00731FE7">
            <w:pPr>
              <w:autoSpaceDE w:val="0"/>
              <w:autoSpaceDN w:val="0"/>
              <w:adjustRightInd w:val="0"/>
              <w:ind w:firstLine="709"/>
              <w:jc w:val="both"/>
              <w:rPr>
                <w:rFonts w:ascii="Times New Roman" w:eastAsia="Times New Roman" w:hAnsi="Times New Roman" w:cs="Times New Roman"/>
                <w:sz w:val="24"/>
                <w:szCs w:val="24"/>
                <w:lang w:eastAsia="ru-RU"/>
              </w:rPr>
            </w:pPr>
            <w:r w:rsidRPr="00731FE7">
              <w:rPr>
                <w:rFonts w:ascii="Times New Roman" w:eastAsia="Times New Roman" w:hAnsi="Times New Roman" w:cs="Times New Roman"/>
                <w:sz w:val="24"/>
                <w:szCs w:val="24"/>
                <w:lang w:eastAsia="ru-RU"/>
              </w:rPr>
              <w:t>Основные направления развития связаны с перспективным развитием электросетевого хозяйства для нужд крупных производств. Заявленная мощность крупных компаний, расположенных в разных районах Республики Татарстан, представлена в таблице 16.</w:t>
            </w:r>
          </w:p>
          <w:p w:rsidR="00344AF9" w:rsidRPr="00D423B2" w:rsidRDefault="00344AF9" w:rsidP="00344AF9">
            <w:pPr>
              <w:autoSpaceDE w:val="0"/>
              <w:autoSpaceDN w:val="0"/>
              <w:adjustRightInd w:val="0"/>
              <w:ind w:firstLine="540"/>
              <w:jc w:val="right"/>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Т</w:t>
            </w:r>
            <w:r w:rsidR="00731FE7">
              <w:rPr>
                <w:rFonts w:ascii="Times New Roman" w:eastAsia="Times New Roman" w:hAnsi="Times New Roman" w:cs="Times New Roman"/>
                <w:sz w:val="24"/>
                <w:szCs w:val="24"/>
                <w:lang w:eastAsia="ru-RU"/>
              </w:rPr>
              <w:t xml:space="preserve">аблица </w:t>
            </w:r>
            <w:r w:rsidRPr="00D423B2">
              <w:rPr>
                <w:rFonts w:ascii="Times New Roman" w:eastAsia="Times New Roman" w:hAnsi="Times New Roman" w:cs="Times New Roman"/>
                <w:sz w:val="24"/>
                <w:szCs w:val="24"/>
                <w:lang w:eastAsia="ru-RU"/>
              </w:rPr>
              <w:t>16</w:t>
            </w:r>
          </w:p>
          <w:p w:rsidR="00344AF9" w:rsidRPr="00D423B2" w:rsidRDefault="00344AF9" w:rsidP="00344AF9">
            <w:pPr>
              <w:widowControl w:val="0"/>
              <w:shd w:val="clear" w:color="auto" w:fill="FFFFFF"/>
              <w:autoSpaceDE w:val="0"/>
              <w:autoSpaceDN w:val="0"/>
              <w:jc w:val="center"/>
              <w:rPr>
                <w:rFonts w:ascii="Times New Roman" w:eastAsia="Times New Roman" w:hAnsi="Times New Roman" w:cs="Times New Roman"/>
                <w:sz w:val="24"/>
                <w:szCs w:val="24"/>
                <w:lang w:eastAsia="ru-RU"/>
              </w:rPr>
            </w:pPr>
          </w:p>
          <w:p w:rsidR="00344AF9" w:rsidRPr="00D423B2" w:rsidRDefault="00344AF9" w:rsidP="00344AF9">
            <w:pPr>
              <w:widowControl w:val="0"/>
              <w:shd w:val="clear" w:color="auto" w:fill="FFFFFF"/>
              <w:autoSpaceDE w:val="0"/>
              <w:autoSpaceDN w:val="0"/>
              <w:jc w:val="center"/>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Основные крупные заявители по ОАО «Сетевая компания»</w:t>
            </w:r>
          </w:p>
          <w:p w:rsidR="00731FE7" w:rsidRDefault="00731FE7" w:rsidP="007F62EF">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p>
          <w:tbl>
            <w:tblPr>
              <w:tblW w:w="4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2"/>
              <w:gridCol w:w="515"/>
              <w:gridCol w:w="446"/>
              <w:gridCol w:w="415"/>
              <w:gridCol w:w="415"/>
              <w:gridCol w:w="451"/>
              <w:gridCol w:w="499"/>
              <w:gridCol w:w="915"/>
            </w:tblGrid>
            <w:tr w:rsidR="00731FE7" w:rsidRPr="00731FE7" w:rsidTr="00364A79">
              <w:trPr>
                <w:trHeight w:val="322"/>
              </w:trPr>
              <w:tc>
                <w:tcPr>
                  <w:tcW w:w="1282" w:type="dxa"/>
                  <w:vMerge w:val="restart"/>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Наименование предприятия</w:t>
                  </w:r>
                </w:p>
              </w:tc>
              <w:tc>
                <w:tcPr>
                  <w:tcW w:w="2741" w:type="dxa"/>
                  <w:gridSpan w:val="6"/>
                  <w:shd w:val="clear" w:color="auto" w:fill="auto"/>
                </w:tcPr>
                <w:p w:rsidR="00731FE7" w:rsidRPr="00731FE7" w:rsidRDefault="00731FE7" w:rsidP="00731FE7">
                  <w:pPr>
                    <w:pStyle w:val="ConsPlusTitle"/>
                    <w:spacing w:before="60" w:after="60"/>
                    <w:jc w:val="center"/>
                    <w:rPr>
                      <w:rFonts w:ascii="Times New Roman" w:hAnsi="Times New Roman" w:cs="Times New Roman"/>
                      <w:b w:val="0"/>
                      <w:sz w:val="16"/>
                      <w:szCs w:val="16"/>
                    </w:rPr>
                  </w:pPr>
                  <w:r w:rsidRPr="00731FE7">
                    <w:rPr>
                      <w:rFonts w:ascii="Times New Roman" w:hAnsi="Times New Roman" w:cs="Times New Roman"/>
                      <w:b w:val="0"/>
                      <w:sz w:val="16"/>
                      <w:szCs w:val="16"/>
                    </w:rPr>
                    <w:t>Заявленная мощность, МВт</w:t>
                  </w:r>
                </w:p>
              </w:tc>
              <w:tc>
                <w:tcPr>
                  <w:tcW w:w="915" w:type="dxa"/>
                  <w:vMerge w:val="restart"/>
                  <w:shd w:val="clear" w:color="auto" w:fill="auto"/>
                </w:tcPr>
                <w:p w:rsidR="00731FE7" w:rsidRPr="00731FE7" w:rsidRDefault="00731FE7" w:rsidP="00731FE7">
                  <w:pPr>
                    <w:pStyle w:val="ConsPlusTitle"/>
                    <w:spacing w:before="60" w:after="60"/>
                    <w:jc w:val="center"/>
                    <w:rPr>
                      <w:rFonts w:ascii="Times New Roman" w:hAnsi="Times New Roman" w:cs="Times New Roman"/>
                      <w:b w:val="0"/>
                      <w:sz w:val="16"/>
                      <w:szCs w:val="16"/>
                    </w:rPr>
                  </w:pPr>
                  <w:r w:rsidRPr="00731FE7">
                    <w:rPr>
                      <w:rFonts w:ascii="Times New Roman" w:hAnsi="Times New Roman" w:cs="Times New Roman"/>
                      <w:b w:val="0"/>
                      <w:sz w:val="16"/>
                      <w:szCs w:val="16"/>
                    </w:rPr>
                    <w:t>Муниципальные районы</w:t>
                  </w:r>
                </w:p>
              </w:tc>
            </w:tr>
            <w:tr w:rsidR="00731FE7" w:rsidRPr="00731FE7" w:rsidTr="00364A79">
              <w:trPr>
                <w:trHeight w:val="829"/>
              </w:trPr>
              <w:tc>
                <w:tcPr>
                  <w:tcW w:w="1282" w:type="dxa"/>
                  <w:vMerge/>
                  <w:shd w:val="clear" w:color="auto" w:fill="auto"/>
                </w:tcPr>
                <w:p w:rsidR="00731FE7" w:rsidRPr="00731FE7" w:rsidRDefault="00731FE7" w:rsidP="00731FE7">
                  <w:pPr>
                    <w:shd w:val="clear" w:color="auto" w:fill="FFFFFF"/>
                    <w:spacing w:before="60" w:after="60"/>
                    <w:rPr>
                      <w:rFonts w:ascii="Times New Roman" w:hAnsi="Times New Roman" w:cs="Times New Roman"/>
                      <w:sz w:val="16"/>
                      <w:szCs w:val="16"/>
                    </w:rPr>
                  </w:pP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2018</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2019</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2020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2021</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2022</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Макси-мальная</w:t>
                  </w:r>
                </w:p>
              </w:tc>
              <w:tc>
                <w:tcPr>
                  <w:tcW w:w="915" w:type="dxa"/>
                  <w:vMerge/>
                  <w:shd w:val="clear" w:color="auto" w:fill="auto"/>
                </w:tcPr>
                <w:p w:rsidR="00731FE7" w:rsidRPr="00731FE7" w:rsidRDefault="00731FE7" w:rsidP="00731FE7">
                  <w:pPr>
                    <w:pStyle w:val="ConsPlusTitle"/>
                    <w:spacing w:before="60" w:after="60"/>
                    <w:jc w:val="center"/>
                    <w:rPr>
                      <w:rFonts w:ascii="Times New Roman" w:hAnsi="Times New Roman" w:cs="Times New Roman"/>
                      <w:b w:val="0"/>
                      <w:sz w:val="16"/>
                      <w:szCs w:val="16"/>
                    </w:rPr>
                  </w:pPr>
                </w:p>
              </w:tc>
            </w:tr>
            <w:tr w:rsidR="00731FE7" w:rsidRPr="00731FE7" w:rsidTr="00364A79">
              <w:trPr>
                <w:trHeight w:val="346"/>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Комплекс «ТАНЕКО»</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107,1</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133,0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159,0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186,0</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198,0</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215,0</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Нижнекамский</w:t>
                  </w:r>
                </w:p>
              </w:tc>
            </w:tr>
            <w:tr w:rsidR="00731FE7" w:rsidRPr="00731FE7" w:rsidTr="00364A79">
              <w:trPr>
                <w:trHeight w:val="569"/>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ОЭЗ «Алабуга»</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56,788</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65,008</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67,979</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72,091</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75,032</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77,575</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Нижнекамский</w:t>
                  </w:r>
                </w:p>
              </w:tc>
            </w:tr>
            <w:tr w:rsidR="00731FE7" w:rsidRPr="00731FE7" w:rsidTr="00364A79">
              <w:trPr>
                <w:trHeight w:val="334"/>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 xml:space="preserve">ОАО «Аммоний» </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Менделеевский</w:t>
                  </w:r>
                </w:p>
              </w:tc>
            </w:tr>
            <w:tr w:rsidR="00731FE7" w:rsidRPr="00731FE7" w:rsidTr="00364A79">
              <w:trPr>
                <w:trHeight w:val="582"/>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ООО «Индустриальный парк М-7»</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6,208</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6,208</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8,208</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9,208</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10,208</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10,208</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Зеленодольский</w:t>
                  </w:r>
                </w:p>
              </w:tc>
            </w:tr>
            <w:tr w:rsidR="00731FE7" w:rsidRPr="00731FE7" w:rsidTr="00364A79">
              <w:trPr>
                <w:trHeight w:val="334"/>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ПАО «Казаньоргсинтез»</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206,0</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207,4</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217,4</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220,0</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220,0</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222,5</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Казанский</w:t>
                  </w:r>
                </w:p>
              </w:tc>
            </w:tr>
            <w:tr w:rsidR="00731FE7" w:rsidRPr="00731FE7" w:rsidTr="00364A79">
              <w:trPr>
                <w:trHeight w:val="346"/>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ОАО «Заинский сахар»</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9,6</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9,6</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9,8</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9,8</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9,8</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9,8</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Заинский</w:t>
                  </w:r>
                </w:p>
              </w:tc>
            </w:tr>
            <w:tr w:rsidR="00731FE7" w:rsidRPr="00731FE7" w:rsidTr="00364A79">
              <w:trPr>
                <w:trHeight w:val="334"/>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ОАО «ТАИФ-НК»</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112,9</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113,8</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114,0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114,0</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114,0</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114,0</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Нижнекамский</w:t>
                  </w:r>
                </w:p>
              </w:tc>
            </w:tr>
            <w:tr w:rsidR="00731FE7" w:rsidRPr="00731FE7" w:rsidTr="00364A79">
              <w:trPr>
                <w:trHeight w:val="582"/>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 xml:space="preserve">ОАО «НКНХ» </w:t>
                  </w:r>
                  <w:r w:rsidRPr="00731FE7">
                    <w:rPr>
                      <w:rFonts w:ascii="Times New Roman" w:hAnsi="Times New Roman" w:cs="Times New Roman"/>
                      <w:sz w:val="16"/>
                      <w:szCs w:val="16"/>
                    </w:rPr>
                    <w:br/>
                    <w:t>(</w:t>
                  </w:r>
                  <w:r w:rsidRPr="00731FE7">
                    <w:rPr>
                      <w:rFonts w:ascii="Times New Roman" w:hAnsi="Times New Roman" w:cs="Times New Roman"/>
                      <w:i/>
                      <w:sz w:val="16"/>
                      <w:szCs w:val="16"/>
                    </w:rPr>
                    <w:t>с субабонентами</w:t>
                  </w:r>
                  <w:r w:rsidRPr="00731FE7">
                    <w:rPr>
                      <w:rFonts w:ascii="Times New Roman" w:hAnsi="Times New Roman" w:cs="Times New Roman"/>
                      <w:sz w:val="16"/>
                      <w:szCs w:val="16"/>
                    </w:rPr>
                    <w:t>)</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406,5</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413,0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420,0</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420,0</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420,0</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495,0</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Нижнекамский</w:t>
                  </w:r>
                </w:p>
              </w:tc>
            </w:tr>
            <w:tr w:rsidR="00731FE7" w:rsidRPr="00731FE7" w:rsidTr="00364A79">
              <w:trPr>
                <w:trHeight w:val="569"/>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ООО «Тепличный комбинат «Майский»</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81,8</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86,3</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86,3</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86,3</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86,3</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86,3</w:t>
                  </w:r>
                </w:p>
              </w:tc>
              <w:tc>
                <w:tcPr>
                  <w:tcW w:w="9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Зеленодольский</w:t>
                  </w:r>
                </w:p>
              </w:tc>
            </w:tr>
            <w:tr w:rsidR="00731FE7" w:rsidRPr="00731FE7" w:rsidTr="00364A79">
              <w:trPr>
                <w:trHeight w:val="334"/>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ООО «Ай-Пласт»</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446" w:type="dxa"/>
                  <w:shd w:val="clear" w:color="auto" w:fill="auto"/>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415" w:type="dxa"/>
                  <w:shd w:val="clear" w:color="auto" w:fill="auto"/>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415" w:type="dxa"/>
                  <w:shd w:val="clear" w:color="auto" w:fill="auto"/>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451" w:type="dxa"/>
                  <w:shd w:val="clear" w:color="auto" w:fill="auto"/>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497" w:type="dxa"/>
                  <w:shd w:val="clear" w:color="auto" w:fill="auto"/>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37,5</w:t>
                  </w:r>
                </w:p>
              </w:tc>
              <w:tc>
                <w:tcPr>
                  <w:tcW w:w="915"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Нижнекамский</w:t>
                  </w:r>
                </w:p>
              </w:tc>
            </w:tr>
            <w:tr w:rsidR="00731FE7" w:rsidRPr="00731FE7" w:rsidTr="00364A79">
              <w:trPr>
                <w:trHeight w:val="334"/>
              </w:trPr>
              <w:tc>
                <w:tcPr>
                  <w:tcW w:w="1282"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АО «ПОЗиС»</w:t>
                  </w:r>
                </w:p>
              </w:tc>
              <w:tc>
                <w:tcPr>
                  <w:tcW w:w="5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13,1</w:t>
                  </w:r>
                </w:p>
              </w:tc>
              <w:tc>
                <w:tcPr>
                  <w:tcW w:w="446"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13,1</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13,2</w:t>
                  </w:r>
                </w:p>
              </w:tc>
              <w:tc>
                <w:tcPr>
                  <w:tcW w:w="415"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13,2</w:t>
                  </w:r>
                </w:p>
              </w:tc>
              <w:tc>
                <w:tcPr>
                  <w:tcW w:w="451"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13,5</w:t>
                  </w:r>
                </w:p>
              </w:tc>
              <w:tc>
                <w:tcPr>
                  <w:tcW w:w="497" w:type="dxa"/>
                  <w:shd w:val="clear" w:color="auto" w:fill="auto"/>
                  <w:vAlign w:val="center"/>
                </w:tcPr>
                <w:p w:rsidR="00731FE7" w:rsidRPr="00731FE7" w:rsidRDefault="00731FE7" w:rsidP="00731FE7">
                  <w:pPr>
                    <w:pStyle w:val="ConsPlusNormal"/>
                    <w:shd w:val="clear" w:color="auto" w:fill="FFFFFF"/>
                    <w:spacing w:before="60" w:after="60"/>
                    <w:jc w:val="center"/>
                    <w:rPr>
                      <w:rFonts w:ascii="Times New Roman" w:hAnsi="Times New Roman" w:cs="Times New Roman"/>
                      <w:sz w:val="16"/>
                      <w:szCs w:val="16"/>
                    </w:rPr>
                  </w:pPr>
                  <w:r w:rsidRPr="00731FE7">
                    <w:rPr>
                      <w:rFonts w:ascii="Times New Roman" w:hAnsi="Times New Roman" w:cs="Times New Roman"/>
                      <w:sz w:val="16"/>
                      <w:szCs w:val="16"/>
                    </w:rPr>
                    <w:t>13,7</w:t>
                  </w:r>
                </w:p>
              </w:tc>
              <w:tc>
                <w:tcPr>
                  <w:tcW w:w="915" w:type="dxa"/>
                  <w:shd w:val="clear" w:color="auto" w:fill="auto"/>
                  <w:vAlign w:val="center"/>
                </w:tcPr>
                <w:p w:rsidR="00731FE7" w:rsidRPr="00731FE7" w:rsidRDefault="00731FE7" w:rsidP="00731FE7">
                  <w:pPr>
                    <w:pStyle w:val="ConsPlusNormal"/>
                    <w:shd w:val="clear" w:color="auto" w:fill="FFFFFF"/>
                    <w:spacing w:before="60" w:after="60"/>
                    <w:rPr>
                      <w:rFonts w:ascii="Times New Roman" w:hAnsi="Times New Roman" w:cs="Times New Roman"/>
                      <w:sz w:val="16"/>
                      <w:szCs w:val="16"/>
                    </w:rPr>
                  </w:pPr>
                  <w:r w:rsidRPr="00731FE7">
                    <w:rPr>
                      <w:rFonts w:ascii="Times New Roman" w:hAnsi="Times New Roman" w:cs="Times New Roman"/>
                      <w:sz w:val="16"/>
                      <w:szCs w:val="16"/>
                    </w:rPr>
                    <w:t>Зеленодольский</w:t>
                  </w:r>
                </w:p>
              </w:tc>
            </w:tr>
          </w:tbl>
          <w:p w:rsidR="00731FE7" w:rsidRDefault="00731FE7" w:rsidP="007F62EF">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Выполнение мероприятий по развитию электросетевого хозяйства направлено на решение следующих основных проблем:</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повышенная загрузка ряда кабельных и воздушных линий электропередачи и трансформаторов сети 110 – 220 кВ;</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возникновение перегрузок в электрических сетях 110 - 220 кВ при отключении элементов сети 500 кВ;</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несоответствие отключающей способности выключателей 110-500 кВ при различных режимах в электрической сети фактическому уровню токов короткого замыкания, в связи с чем возникает необходимость применения режимных мероприятий;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большие величины токов короткого замыкания и недостаточная отключающая способность выключателей 500, 220 и 110 кВ, что вызывает необходимость применения различных мероприятий по ограничению разрывов электрической сети.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При решении основных проблем должны применяться концептуальные подходы к развитию электросетевого хозяйства:</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необходимость компактного исполнения объектов электрических сетей вследствие высокой стоимости земли; схема основной электрической сети должна обладать достаточной гибкостью, позволяющей осуществлять ее поэтапное развитие и иметь возможность приспосабливаться к изменению условий роста нагрузки и развитию электростанций;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схема и параметры распределительных сетей должны обеспечивать надежность электроснабжения, при котором питание потребителей осуществляется без ограничения нагрузки с соблюдением нормативных требований к качеству электроэнергии при полной схеме сети и при выводе в ремонт одной высоковольтной линии (далее – ВЛ) или автотрансформатора (трансформатора);</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 условиях высокой плотности нагрузки, обеспечения надежности и эффективности энергоснабжения в крупных городах Республики Татарстан центры питания должны быть максимально приближены к центрам нагрузок и обеспечивать требования по надежности, регулированию частоты и активной мощности, регулированию напряжения и реактивной мощности как в условиях параллельной работы в энергосистеме, так и в условиях изолированной работы на выделенную нагрузку;</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техническое перевооружение электрических сетей должно предусматривать повышение пропускной способности, в том числе путем перевода ВЛ и подстанций (далее – ПС) на более высокий класс напряжения;</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широкое использование кабельных сетей высокой пропускной способности и закрытых ПС с применением в распределительных устройствах высшего напряжения элегазового оборудования в городских районах массовой застройки;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проведение реконструкции ПС напряжением 110 – 500 кВ открытого типа и ВЛ, проходящих в черте города, путем сооружения на месте существующих новых ПС, выполненных по новейшим технологиям. Реконструкция ВЛ планируется путем перевода их в кабельные линии;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применение новых технологий и оборудования, ограничивающего токи короткого замыкания (далее – КЗ);</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поэтапная замена выключателей 110 кВ и выше, отработавших нормативный срок и имеющих не соответствующую уровням токов КЗ отключающую способность;</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применение новых типов силового и коммутационного оборудования, созданного на основе новых материалов, передовых технологий;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применение композитных проводов и кабелей из сшитого полиэтилена, обладающих увеличенной пропускной способностью.</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Выполнение мероприятий по развитию электросетевого хозяйства должно быть направлено на снятие инфраструктурных ограничений, в том числе для целей «освобождения запертых» мощностей электрических станций и обеспечения экономичной загрузки станций в летний период.</w:t>
            </w:r>
          </w:p>
          <w:p w:rsidR="004E4C62" w:rsidRDefault="000F7FB4" w:rsidP="004E4C62">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Дальнейшее развитие электросетевого хозяйства связано с системой противоаварийной и режимной автоматики, телемеханики и связи, развитием автоматизированных систем учета электроэнергии, в том числе в соответствии с Федеральным законом от 26 марта 2003 года № 35-ФЗ «Об электроэне</w:t>
            </w:r>
            <w:r w:rsidR="004E4C62">
              <w:rPr>
                <w:rFonts w:ascii="Times New Roman" w:eastAsia="Times New Roman" w:hAnsi="Times New Roman" w:cs="Times New Roman"/>
                <w:sz w:val="24"/>
                <w:szCs w:val="24"/>
                <w:lang w:eastAsia="ru-RU"/>
              </w:rPr>
              <w:t>ргетике».</w:t>
            </w:r>
          </w:p>
          <w:p w:rsidR="004E4C62" w:rsidRDefault="004E4C62" w:rsidP="004E4C62">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К примеру, в ОАО «Сетевая компания» ведется внедрение и развитие интеллектуальной активно-адаптивной сети «Smart Grid».</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 соответствии с общепринятым мнением «Smart Grid» – это максимально автоматизированная сеть, сочетающая в себе инструменты управления, контроля и мониторинга, информационные технологии и средства коммуникации, обеспечивающие параллельно поток электроэнергии и информации от электростанции до потребителя, а также:</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заданный уровень надежности и качества электроснабжения потребителей;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снижение потерь электроэнергии в элементах сети;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оптимальные затраты на эксплуатацию;</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создание потребителям условий для оптимизации затрат на пользование электроэнергией.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«Интеллектуальная сеть» – это переход электроэнергетики на качественно новый технологический уровень, возможность наиболее эффективными средствами решить основные проблемы энергетического и электросетевого хозяйства.</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Внедрение автоматизированных систем учета электроэнергии обеспечивает расширение функций контроля режима работы электросети, позволяет на основании анализа перетоков активной и реактивной энергии прогнозировать загрузку линий электропередач, оборудования ПС ОАО «Сетевая компания» и потребителей, разрабатывать мероприятия по вводу компенсирующих устройств в узлах электрической сети и у потребителей, что в конечном итоге снижает потери в электрических сетях.</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 xml:space="preserve">В ОАО «Сетевая компания» наряду с решением проблем системной надежности (строительство в последние годы таких крупных объектов, как </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ПС «Щелоков», ПС «Бегишево», линия «Щелоков – Центральная» и пр.) повышенное внимание уделяется распределительным сетям. Для решения проблем надежности электроснабжения конечных потребителей – снижения времени и частоты отключений – в Компании проводятся мероприятия по мониторингу и управлению состоянием распределительной сети. Так, в городах Казань, Нижнекамск и Набережные Челны реализованы проекты по самовосстанавливающимся сетям, что позволяет в автоматическом режиме локализовать повреждение, отделение поврежденного участка сети и восстановить электроснабжение потребителей. Весь цикл операций занимает не более 90 секунд. Суммарно в зоне действия такой сети находится более 110 тыс. человек. В части цифровизации сельских и пригородных распределительных сетей также ведется серьезная работа – повсеместно внедряются системы автоматического секционирования сети и средства определения места повреждения.</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Сегодня более 35 процентов сетей находятся в зоне действия интеллектуальных решений, что в среднем улучшает показатели надежности электроснабжения потребителей на 30 процентов.</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Актуальным направлением внедрения интеллектуальных сетей остается развитие интегрированной автоматизированной системы учета электроэнергии уровня предприятия электрических сетей.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Основным, наиболее перспективным направлением является применение автоматизированных информационно-измерительных систем учета электроэнергии.</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 xml:space="preserve">Последние годы ОАО «Сетевая компания» активно занималось развитием автоматизированных систем учета электроэнергии с дистанционной передачей показаний приборов учета, что позволяло поддерживать устойчивый тренд по снижению потерь электроэнергии. </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 частности, в 2018 году на базе Елабужских электрических сетей (Елабужский РЭС) реализован пилотный проект, в рамках которого установлены современные интеллектуальные счетчики в количестве 5,2 тыс. штук. Интеллектуальной системой охвачен 31 населенный пункт. В результате реализации проекта существенно повысилась наблюдаемость электрической сети, осуществляется контроль параметров качества электроэнергии. В Елабужском РЭС за счет увеличения полезного отпуска в частном секторе зафиксировано снижение фактических потерь электроэнергии.</w:t>
            </w:r>
          </w:p>
          <w:p w:rsidR="000F7FB4" w:rsidRPr="000F7FB4" w:rsidRDefault="000F7FB4" w:rsidP="00E45003">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 рамках внедрения интеллектуальных технологий в электросетевой комплекс Татарстана ОАО «Сетевая компания» прорабатывается вопрос создания объекта «Цифровая подстанция». Так, в частности, при реконструкции ПС 110 кВ «Портовая» специалистами ОАО «Сетевая компания» в 2019 году была реализована концепция, объединяющая традиционное первичное оборудование с интеллектуальным вторичным, позволяющим преобразовывать аналоговые сигналы в цифровые. Для энергетиков Республики Татарстан это первый опыт построения цифровой подстанции, а в ближайшей перспективе планируется продолжить реконструкцию ПС 110 кВ с аналогичными по</w:t>
            </w:r>
            <w:r w:rsidR="00E45003">
              <w:rPr>
                <w:rFonts w:ascii="Times New Roman" w:eastAsia="Times New Roman" w:hAnsi="Times New Roman" w:cs="Times New Roman"/>
                <w:sz w:val="24"/>
                <w:szCs w:val="24"/>
                <w:lang w:eastAsia="ru-RU"/>
              </w:rPr>
              <w:t xml:space="preserve">дходами на территории Казани – </w:t>
            </w:r>
            <w:r w:rsidRPr="000F7FB4">
              <w:rPr>
                <w:rFonts w:ascii="Times New Roman" w:eastAsia="Times New Roman" w:hAnsi="Times New Roman" w:cs="Times New Roman"/>
                <w:sz w:val="24"/>
                <w:szCs w:val="24"/>
                <w:lang w:eastAsia="ru-RU"/>
              </w:rPr>
              <w:t>ПС 110 кВ «Азино», ПС 110 «Пестрецы».</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 xml:space="preserve">Проект «Цифровая подстанция» позволяет создать в Республике Татарстан автоматизированные ПС, на которых управление, релейная защита, автоматика, измерение и учет функционируют в цифровом формате, включая устройства управления силовым и коммутационным оборудованием, а также автоконтроль их технического состояния. Появление подобных ПС является точкой отсчета перехода электроэнергетики на качественно новый уровень. </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Кроме того, в Республике Татарстан ОАО «Сетевая компания» внедрила новые технологии работы под напряжением, обеспечивающие проведение ремонтно-восстановительных работ на электросетевых объектах без отключения потребителей.</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Эта инновационная технология внедряется в компании с 2009 года,</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 xml:space="preserve">а с 2015 года началось ее тиражирование по всей компании. Результаты внедрения работы под напряжением (далее – РПН) в компании подтверждают уникальность, эффективность и безопасность предлагаемой методики. </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Работы под напряжением обеспечивают повышение качества электроснабжения потребителей и экономически выгодны для самой компании. Существенно сократились средняя частота аварийных отключений и их продолжительность.</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 xml:space="preserve">Ежегодно увеличивается количество бригад, работающих по этой технологии. Только за прошедший 2018 год их количество возросло на 31 и на данный момент составляет 123 бригады электромонтеров, осуществляющих работы во всех районах Республики Татарстан. </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В энергосистеме Республики Татарстан силами специалистов филиалов</w:t>
            </w:r>
          </w:p>
          <w:p w:rsidR="000F7FB4" w:rsidRPr="000F7FB4" w:rsidRDefault="000F7FB4" w:rsidP="000F7FB4">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АО «СО ЕЭС» ОДУ Средней Волги и РДУ Татарстана совместно со специалистами ОАО «Сетевая компания» в 2016 году на ПС 220 кВ «Центральная» на ПС 500 кВ «Щелоков» реализован проект дистанционного управления оборудованием, а в</w:t>
            </w:r>
          </w:p>
          <w:p w:rsidR="001112C7" w:rsidRPr="00D423B2" w:rsidRDefault="000F7FB4" w:rsidP="000F7FB4">
            <w:pPr>
              <w:ind w:firstLine="709"/>
              <w:contextualSpacing/>
              <w:jc w:val="both"/>
              <w:rPr>
                <w:rFonts w:ascii="Times New Roman" w:eastAsia="Times New Roman" w:hAnsi="Times New Roman" w:cs="Times New Roman"/>
                <w:sz w:val="24"/>
                <w:szCs w:val="24"/>
                <w:lang w:eastAsia="ru-RU"/>
              </w:rPr>
            </w:pPr>
            <w:r w:rsidRPr="000F7FB4">
              <w:rPr>
                <w:rFonts w:ascii="Times New Roman" w:eastAsia="Times New Roman" w:hAnsi="Times New Roman" w:cs="Times New Roman"/>
                <w:sz w:val="24"/>
                <w:szCs w:val="24"/>
                <w:lang w:eastAsia="ru-RU"/>
              </w:rPr>
              <w:t>2019 году выполнено расширение объема дистанционного управления оборудованием указанных энергообъектов, что позволило впервые в стране осуществить полный цикл операций (с коммутационными аппаратами и заземляющими ножами) по выводу в ремонт и вводу в работу объекта управления диспетчерского центра с использованием автоматизированных программам переключений. В стадии реализации проект дистанционного управления коммутационными аппаратами, заземляющими ножами и устройствами релейной защиты и автоматики на ПС 220 кВ «Зеленодольская», который позволит впервые в стране осуществлять дистанционное управление устройствами релейной защиты и автоматики, что обеспечит осуществление полного цикла вывода из работы и ввод в работу оборудования, значительно сократит время производства переключений в электроустановках.</w:t>
            </w:r>
          </w:p>
          <w:p w:rsidR="00C0203D" w:rsidRDefault="00C0203D" w:rsidP="001112C7">
            <w:pPr>
              <w:widowControl w:val="0"/>
              <w:autoSpaceDE w:val="0"/>
              <w:autoSpaceDN w:val="0"/>
              <w:ind w:firstLine="709"/>
              <w:outlineLvl w:val="3"/>
              <w:rPr>
                <w:rFonts w:ascii="Times New Roman" w:eastAsia="Times New Roman" w:hAnsi="Times New Roman" w:cs="Times New Roman"/>
                <w:sz w:val="24"/>
                <w:szCs w:val="24"/>
                <w:lang w:eastAsia="ru-RU"/>
              </w:rPr>
            </w:pPr>
          </w:p>
          <w:p w:rsidR="001112C7" w:rsidRPr="00D423B2" w:rsidRDefault="001112C7" w:rsidP="001112C7">
            <w:pPr>
              <w:widowControl w:val="0"/>
              <w:autoSpaceDE w:val="0"/>
              <w:autoSpaceDN w:val="0"/>
              <w:ind w:firstLine="709"/>
              <w:outlineLvl w:val="3"/>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4.2.3. Особенности развития систем теплоснабжения</w:t>
            </w:r>
          </w:p>
          <w:p w:rsidR="001112C7" w:rsidRPr="00D423B2" w:rsidRDefault="001112C7" w:rsidP="001112C7">
            <w:pPr>
              <w:widowControl w:val="0"/>
              <w:autoSpaceDE w:val="0"/>
              <w:autoSpaceDN w:val="0"/>
              <w:ind w:firstLine="709"/>
              <w:jc w:val="center"/>
              <w:outlineLvl w:val="3"/>
              <w:rPr>
                <w:rFonts w:ascii="Times New Roman" w:eastAsia="Times New Roman" w:hAnsi="Times New Roman" w:cs="Times New Roman"/>
                <w:b/>
                <w:sz w:val="24"/>
                <w:szCs w:val="24"/>
                <w:lang w:eastAsia="ru-RU"/>
              </w:rPr>
            </w:pP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 xml:space="preserve">Основными альтернативными направлениями развития систем теплоснабжения являются их централизация и децентрализация. </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В настоящее время основным способом теплоснабжения потребителей в крупных и средних городах Республики Татарстан является централизованное теплоснабжение.</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 xml:space="preserve">В соответствии с Федеральным </w:t>
            </w:r>
            <w:hyperlink r:id="rId106" w:history="1">
              <w:r w:rsidRPr="00D5747F">
                <w:rPr>
                  <w:rStyle w:val="a9"/>
                  <w:rFonts w:ascii="Times New Roman" w:eastAsia="Times New Roman" w:hAnsi="Times New Roman" w:cs="Times New Roman"/>
                  <w:color w:val="000000" w:themeColor="text1"/>
                  <w:sz w:val="24"/>
                  <w:szCs w:val="24"/>
                  <w:u w:val="none"/>
                  <w:lang w:eastAsia="ru-RU"/>
                </w:rPr>
                <w:t>законом</w:t>
              </w:r>
            </w:hyperlink>
            <w:r w:rsidRPr="00DE2E34">
              <w:rPr>
                <w:rFonts w:ascii="Times New Roman" w:eastAsia="Times New Roman" w:hAnsi="Times New Roman" w:cs="Times New Roman"/>
                <w:sz w:val="24"/>
                <w:szCs w:val="24"/>
                <w:lang w:eastAsia="ru-RU"/>
              </w:rPr>
              <w:t xml:space="preserve"> от 27 июля 2010 года № 190-ФЗ </w:t>
            </w:r>
            <w:r w:rsidRPr="00DE2E34">
              <w:rPr>
                <w:rFonts w:ascii="Times New Roman" w:eastAsia="Times New Roman" w:hAnsi="Times New Roman" w:cs="Times New Roman"/>
                <w:sz w:val="24"/>
                <w:szCs w:val="24"/>
                <w:lang w:eastAsia="ru-RU"/>
              </w:rPr>
              <w:br/>
              <w:t>«О теплоснабжении» основными принципами организации отношений в сфере теплоснабжения определены:</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обеспечение приоритетного использования комбинированной выработки электрической и тепловой энергии для организации теплоснабжения;</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развитие систем централизованного теплоснабжения.</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Основными достоинствами систем централизованного теплоснабжения, которые достигаются при преимущественном использовании комбинированной выработки тепловой и электрической энергии, являются экономия топливных ресурсов и снижение антропогенной нагрузки на окружающую среду. Однако для их достижения необходимы большие капиталовложения для модернизации генерирующих мощностей и тепловых сетей.</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Децентрализация систем теплоснабжения предполагает использование источников тепла малой и средней мощности для обеспечения нужд отдельных потребителей. Использование автономных источников тепла позволяет снизить потери в тепловых сетях, выбросы продуктов химподготовки, свести к минимуму потери сетевой воды, исключить необходимость проведения большого объема работ по прокладке теплотрасс.</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Необходимо оптимальное сочетание централизованных и децентрализованных систем отопления исходя из экономической целесообразности. Автономные системы теплоснабжения экономически оправданы в небольших населенных пунктах с малоэтажной застройкой и некоторых городских районах с объективно дорогим подключением к централизованным тепловым сетям.</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В зонах, где централизованное теплоснабжение экономически оправдано, целесообразно добиваться подключения к ней максимального количества потребителей. Отключение части потребителей от теплоснабжающей сети приводит к объективному удорожанию этой услуги для оставшихся потребителей и снижению технико-экономических показателей теплоснабжающей организации.</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Для того чтобы стабилизировать тарифы на тепло, необходимо оперировать более совершенными механизмами управления тепловой сетью. И эти механизмы касаются и самой технологии перераспределения тепла, и технологии управленческих решений.</w:t>
            </w:r>
          </w:p>
          <w:p w:rsidR="00DE2E34" w:rsidRPr="00DE2E34" w:rsidRDefault="00DE2E34" w:rsidP="00DE2E34">
            <w:pPr>
              <w:autoSpaceDE w:val="0"/>
              <w:autoSpaceDN w:val="0"/>
              <w:adjustRightInd w:val="0"/>
              <w:ind w:firstLine="709"/>
              <w:jc w:val="both"/>
              <w:rPr>
                <w:rFonts w:ascii="Times New Roman" w:eastAsia="Times New Roman" w:hAnsi="Times New Roman" w:cs="Times New Roman"/>
                <w:sz w:val="24"/>
                <w:szCs w:val="24"/>
                <w:lang w:eastAsia="ru-RU"/>
              </w:rPr>
            </w:pPr>
            <w:r w:rsidRPr="00DE2E34">
              <w:rPr>
                <w:rFonts w:ascii="Times New Roman" w:eastAsia="Times New Roman" w:hAnsi="Times New Roman" w:cs="Times New Roman"/>
                <w:sz w:val="24"/>
                <w:szCs w:val="24"/>
                <w:lang w:eastAsia="ru-RU"/>
              </w:rPr>
              <w:t>Цифровые технологии смогут в первую очередь обеспечивать экономичность эксплуатации, способствовать снижению производственных потерь, управленческих решений и минимизировать все затраты.</w:t>
            </w:r>
          </w:p>
          <w:p w:rsidR="00DA3645" w:rsidRPr="00D423B2" w:rsidRDefault="00DA3645" w:rsidP="00DA3645">
            <w:pPr>
              <w:ind w:firstLine="709"/>
              <w:contextualSpacing/>
              <w:jc w:val="both"/>
              <w:rPr>
                <w:rFonts w:ascii="Times New Roman" w:eastAsia="Times New Roman" w:hAnsi="Times New Roman" w:cs="Times New Roman"/>
                <w:sz w:val="24"/>
                <w:szCs w:val="24"/>
                <w:lang w:eastAsia="ru-RU"/>
              </w:rPr>
            </w:pPr>
          </w:p>
          <w:p w:rsidR="001112C7" w:rsidRPr="00D423B2" w:rsidRDefault="001112C7" w:rsidP="001112C7">
            <w:pPr>
              <w:ind w:firstLine="709"/>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4.2.4. Развитие энергосбытового сектора</w:t>
            </w:r>
          </w:p>
          <w:p w:rsidR="001112C7" w:rsidRPr="00D423B2" w:rsidRDefault="001112C7" w:rsidP="001112C7">
            <w:pPr>
              <w:ind w:firstLine="709"/>
              <w:rPr>
                <w:rFonts w:ascii="Times New Roman" w:eastAsia="Times New Roman" w:hAnsi="Times New Roman" w:cs="Times New Roman"/>
                <w:sz w:val="24"/>
                <w:szCs w:val="24"/>
                <w:lang w:eastAsia="ru-RU"/>
              </w:rPr>
            </w:pP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Розничный рынок электроэнергетики Республики Татарстан представлен работой гарантирующего поставщика – АО «Татэнергосбыт» и других энергосбытовых компаний на территории республики.</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С учетом ускоренного развития информационных технологий, развития систем автоматизированного сбора данных коммерческого учета электрической (тепловой) энергии в рассматриваемый период до 2030 года можно выделить два основных направления деятельности гарантирующего поставщика и других энергосбытовых компаний на рынке, а также системы ценообразования и мониторинга:</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в отношении обслуживания группы «Население и приравненные к ним категории потребителей»;</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в отношении обслуживания юридических лиц.</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В отношении обслуживания группы «Население» гарантирующий поставщик Республики Татарстан – АО «Татэнергосбыт» выполняет функции Единого расчетного центра и обеспечивает прием коммунальных платежей (в том числе за электрическую и тепловую энергию) от населения с последующим автоматическим расщеплением – перечислением поступивших денежных средств ресурсоснабжающим и управляющим компаниям, исполнителям услуг.</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В соответствии с Федеральным законом от 26 марта 2003 года № 35-ФЗ</w:t>
            </w:r>
            <w:r w:rsidRPr="00C44DE6">
              <w:rPr>
                <w:rFonts w:ascii="Times New Roman" w:eastAsia="Times New Roman" w:hAnsi="Times New Roman" w:cs="Times New Roman"/>
                <w:sz w:val="24"/>
                <w:szCs w:val="24"/>
                <w:lang w:eastAsia="ru-RU"/>
              </w:rPr>
              <w:br/>
              <w:t xml:space="preserve">«Об электроэнергетике» гарантирующий поставщик обязан с 1 июля 2020 года обеспечить оборудование многоквартирных жилых домов интеллектуальными приборами учета. </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Одновременно гарантирующим поставщиком должна быть создана собственная интеллектуальная система учета электрической энергии, функционирующая на основе установленных «умных» счетчиков.</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Всего в рамках данной работы планируется установить более 1,2 млн приборов учета.</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 xml:space="preserve">В отношении обслуживания юридических лиц до 2030 года, в части расчета и утверждения стоимости услуг (сбытовой надбавки) гарантирующего поставщика, а также в части изменения критериев работы на розничном и оптовом рынках, возможны снижение доли объемов продаж гарантирующего поставщика до 40 процентов (по состоянию на 2018 год эта доля составляла порядка 70 процентов) и рост количества конкурентных энергосбытовых компаний. </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 xml:space="preserve">Ежемесячно Государственным комитетом Республики Татарстан по тарифам и гарантирующим поставщиком Республики Татарстан – АО «Татэнергосбыт» проводится ценовой мониторинг на предмет фактического и прогнозируемого роста цен и относительно среднероссийского уровня, а также мониторинг уровня инфляции. </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 xml:space="preserve">С учетом развития интеллектуальных систем учета потребления электрической энергии в АО «Татэнергосбыт» будет установлено современное программное обеспечение для реализации биллинговых задач, повышения качества обслуживания всех групп потребителей и надежности энергоснабжения. </w:t>
            </w:r>
          </w:p>
          <w:p w:rsidR="00C44DE6" w:rsidRPr="00C44DE6" w:rsidRDefault="00C44DE6" w:rsidP="00C44DE6">
            <w:pPr>
              <w:shd w:val="clear" w:color="auto" w:fill="FFFFFF"/>
              <w:ind w:firstLine="709"/>
              <w:jc w:val="both"/>
              <w:rPr>
                <w:rFonts w:ascii="Times New Roman" w:eastAsia="Times New Roman" w:hAnsi="Times New Roman" w:cs="Times New Roman"/>
                <w:sz w:val="24"/>
                <w:szCs w:val="24"/>
                <w:lang w:eastAsia="ru-RU"/>
              </w:rPr>
            </w:pPr>
            <w:r w:rsidRPr="00C44DE6">
              <w:rPr>
                <w:rFonts w:ascii="Times New Roman" w:eastAsia="Times New Roman" w:hAnsi="Times New Roman" w:cs="Times New Roman"/>
                <w:sz w:val="24"/>
                <w:szCs w:val="24"/>
                <w:lang w:eastAsia="ru-RU"/>
              </w:rPr>
              <w:t>До 2030 года прогнозируется развитие дополнительных сервисов и возможностей для потребителей: микрогенерация, накопление электрической энергии, управление спросом, развитие сети электрических заправок для электромобилей и другие.</w:t>
            </w:r>
          </w:p>
          <w:p w:rsidR="00DA3645" w:rsidRPr="00D423B2" w:rsidRDefault="00DA3645" w:rsidP="00DA3645">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p>
          <w:p w:rsidR="00795644" w:rsidRPr="00D423B2" w:rsidRDefault="00795644" w:rsidP="00795644">
            <w:pPr>
              <w:widowControl w:val="0"/>
              <w:autoSpaceDE w:val="0"/>
              <w:autoSpaceDN w:val="0"/>
              <w:ind w:firstLine="709"/>
              <w:jc w:val="center"/>
              <w:outlineLvl w:val="3"/>
              <w:rPr>
                <w:rFonts w:ascii="Times New Roman" w:eastAsia="Times New Roman" w:hAnsi="Times New Roman" w:cs="Times New Roman"/>
                <w:b/>
                <w:sz w:val="24"/>
                <w:szCs w:val="24"/>
                <w:lang w:eastAsia="ru-RU"/>
              </w:rPr>
            </w:pPr>
            <w:r w:rsidRPr="00D423B2">
              <w:rPr>
                <w:rFonts w:ascii="Times New Roman" w:eastAsia="Times New Roman" w:hAnsi="Times New Roman" w:cs="Times New Roman"/>
                <w:b/>
                <w:sz w:val="24"/>
                <w:szCs w:val="24"/>
                <w:lang w:eastAsia="ru-RU"/>
              </w:rPr>
              <w:t>4.3. Энергосбережение и повышение энергетической эффективности</w:t>
            </w:r>
          </w:p>
          <w:p w:rsidR="00795644" w:rsidRPr="00D423B2" w:rsidRDefault="00795644" w:rsidP="00795644">
            <w:pPr>
              <w:autoSpaceDE w:val="0"/>
              <w:autoSpaceDN w:val="0"/>
              <w:adjustRightInd w:val="0"/>
              <w:ind w:firstLine="709"/>
              <w:jc w:val="both"/>
              <w:rPr>
                <w:rFonts w:ascii="Times New Roman" w:eastAsia="Times New Roman" w:hAnsi="Times New Roman" w:cs="Times New Roman"/>
                <w:sz w:val="24"/>
                <w:szCs w:val="24"/>
                <w:lang w:eastAsia="ru-RU"/>
              </w:rPr>
            </w:pPr>
          </w:p>
          <w:p w:rsidR="00B71A70" w:rsidRPr="00B71A70" w:rsidRDefault="00B71A70" w:rsidP="00B71A70">
            <w:pPr>
              <w:shd w:val="clear" w:color="auto" w:fill="FFFFFF"/>
              <w:ind w:firstLine="709"/>
              <w:jc w:val="both"/>
              <w:rPr>
                <w:rFonts w:ascii="Times New Roman" w:eastAsia="Times New Roman" w:hAnsi="Times New Roman" w:cs="Times New Roman"/>
                <w:color w:val="000000" w:themeColor="text1"/>
                <w:sz w:val="24"/>
                <w:szCs w:val="24"/>
                <w:lang w:eastAsia="ru-RU"/>
              </w:rPr>
            </w:pPr>
            <w:r w:rsidRPr="00B71A70">
              <w:rPr>
                <w:rFonts w:ascii="Times New Roman" w:eastAsia="Times New Roman" w:hAnsi="Times New Roman" w:cs="Times New Roman"/>
                <w:color w:val="000000" w:themeColor="text1"/>
                <w:sz w:val="24"/>
                <w:szCs w:val="24"/>
                <w:lang w:eastAsia="ru-RU"/>
              </w:rPr>
              <w:t xml:space="preserve">Для оценки эффективного использования энергоресурсов в Республике Татарстан используется индикатор энергоемкости валового регионального продукта (далее – ВРП) как отношение объемов потребляемых первичных энергоносителей в тоннах условного топлива к ВРП в сопоставимых ценах 2007 года (базовый год), динамика которого представлена на </w:t>
            </w:r>
            <w:hyperlink w:anchor="Par2226" w:tooltip="Рис. 23. Фактическая и прогнозная энергоемкость ВРП" w:history="1">
              <w:r w:rsidRPr="00B71A70">
                <w:rPr>
                  <w:rStyle w:val="a9"/>
                  <w:rFonts w:ascii="Times New Roman" w:eastAsia="Times New Roman" w:hAnsi="Times New Roman" w:cs="Times New Roman"/>
                  <w:color w:val="000000" w:themeColor="text1"/>
                  <w:sz w:val="24"/>
                  <w:szCs w:val="24"/>
                  <w:u w:val="none"/>
                  <w:lang w:eastAsia="ru-RU"/>
                </w:rPr>
                <w:t xml:space="preserve">рисунке </w:t>
              </w:r>
            </w:hyperlink>
            <w:r w:rsidRPr="00B71A70">
              <w:rPr>
                <w:rFonts w:ascii="Times New Roman" w:eastAsia="Times New Roman" w:hAnsi="Times New Roman" w:cs="Times New Roman"/>
                <w:color w:val="000000" w:themeColor="text1"/>
                <w:sz w:val="24"/>
                <w:szCs w:val="24"/>
                <w:lang w:eastAsia="ru-RU"/>
              </w:rPr>
              <w:t>28.</w:t>
            </w:r>
          </w:p>
          <w:p w:rsidR="00B71A70" w:rsidRPr="00B71A70" w:rsidRDefault="00B71A70" w:rsidP="00B71A70">
            <w:pPr>
              <w:shd w:val="clear" w:color="auto" w:fill="FFFFFF"/>
              <w:ind w:firstLine="709"/>
              <w:jc w:val="both"/>
              <w:rPr>
                <w:rFonts w:ascii="Times New Roman" w:eastAsia="Times New Roman" w:hAnsi="Times New Roman" w:cs="Times New Roman"/>
                <w:sz w:val="24"/>
                <w:szCs w:val="24"/>
                <w:lang w:eastAsia="ru-RU"/>
              </w:rPr>
            </w:pPr>
            <w:r w:rsidRPr="00B71A70">
              <w:rPr>
                <w:rFonts w:ascii="Times New Roman" w:eastAsia="Times New Roman" w:hAnsi="Times New Roman" w:cs="Times New Roman"/>
                <w:sz w:val="24"/>
                <w:szCs w:val="24"/>
                <w:lang w:eastAsia="ru-RU"/>
              </w:rPr>
              <w:t>Снижение индикатора энергоемкости ВРП по итогам 2018 года к уровню</w:t>
            </w:r>
            <w:r w:rsidRPr="00B71A70">
              <w:rPr>
                <w:rFonts w:ascii="Times New Roman" w:eastAsia="Times New Roman" w:hAnsi="Times New Roman" w:cs="Times New Roman"/>
                <w:sz w:val="24"/>
                <w:szCs w:val="24"/>
                <w:lang w:eastAsia="ru-RU"/>
              </w:rPr>
              <w:br/>
              <w:t xml:space="preserve">2007 года составило 23,6 процента. </w:t>
            </w:r>
          </w:p>
          <w:p w:rsidR="00795644" w:rsidRPr="00D423B2" w:rsidRDefault="00003E96" w:rsidP="00DA3645">
            <w:pPr>
              <w:shd w:val="clear" w:color="auto" w:fill="FFFFFF"/>
              <w:autoSpaceDE w:val="0"/>
              <w:autoSpaceDN w:val="0"/>
              <w:adjustRightInd w:val="0"/>
              <w:ind w:firstLine="709"/>
              <w:jc w:val="both"/>
              <w:rPr>
                <w:rFonts w:ascii="Times New Roman" w:eastAsia="Times New Roman" w:hAnsi="Times New Roman" w:cs="Times New Roman"/>
                <w:sz w:val="24"/>
                <w:szCs w:val="24"/>
                <w:lang w:eastAsia="ru-RU"/>
              </w:rPr>
            </w:pPr>
            <w:r w:rsidRPr="00D423B2">
              <w:rPr>
                <w:rFonts w:ascii="Times New Roman" w:eastAsia="Times New Roman" w:hAnsi="Times New Roman" w:cs="Times New Roman"/>
                <w:noProof/>
                <w:sz w:val="24"/>
                <w:szCs w:val="24"/>
                <w:lang w:eastAsia="ru-RU"/>
              </w:rPr>
              <w:drawing>
                <wp:inline distT="0" distB="0" distL="0" distR="0" wp14:anchorId="6C650D11" wp14:editId="7BB32D66">
                  <wp:extent cx="2456815" cy="1085850"/>
                  <wp:effectExtent l="0" t="0" r="63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456815" cy="1085850"/>
                          </a:xfrm>
                          <a:prstGeom prst="rect">
                            <a:avLst/>
                          </a:prstGeom>
                          <a:noFill/>
                        </pic:spPr>
                      </pic:pic>
                    </a:graphicData>
                  </a:graphic>
                </wp:inline>
              </w:drawing>
            </w:r>
          </w:p>
          <w:p w:rsidR="00B71A70" w:rsidRDefault="00B71A70" w:rsidP="00D144FF">
            <w:pPr>
              <w:autoSpaceDE w:val="0"/>
              <w:autoSpaceDN w:val="0"/>
              <w:adjustRightInd w:val="0"/>
              <w:jc w:val="center"/>
              <w:rPr>
                <w:rFonts w:ascii="Times New Roman" w:eastAsia="Times New Roman" w:hAnsi="Times New Roman" w:cs="Times New Roman"/>
                <w:sz w:val="16"/>
                <w:szCs w:val="16"/>
                <w:lang w:eastAsia="ru-RU"/>
              </w:rPr>
            </w:pPr>
          </w:p>
          <w:p w:rsidR="004C41CB" w:rsidRPr="004C41CB" w:rsidRDefault="004C41CB" w:rsidP="004C41CB">
            <w:pPr>
              <w:autoSpaceDE w:val="0"/>
              <w:autoSpaceDN w:val="0"/>
              <w:adjustRightInd w:val="0"/>
              <w:jc w:val="center"/>
              <w:rPr>
                <w:rFonts w:ascii="Times New Roman" w:eastAsia="Times New Roman" w:hAnsi="Times New Roman" w:cs="Times New Roman"/>
                <w:sz w:val="16"/>
                <w:szCs w:val="16"/>
                <w:lang w:eastAsia="ru-RU"/>
              </w:rPr>
            </w:pPr>
            <w:r w:rsidRPr="004C41CB">
              <w:rPr>
                <w:rFonts w:ascii="Times New Roman" w:eastAsia="Times New Roman" w:hAnsi="Times New Roman" w:cs="Times New Roman"/>
                <w:sz w:val="16"/>
                <w:szCs w:val="16"/>
                <w:lang w:eastAsia="ru-RU"/>
              </w:rPr>
              <w:t>Рис. 28. Фактическая и прогнозная энергоемкость ВРП РТ в сопоставимых ценах 2007 года по первичным энергоносителям (тонн условного топлива/млн рублей)</w:t>
            </w:r>
          </w:p>
          <w:p w:rsidR="00B04017" w:rsidRPr="00D423B2" w:rsidRDefault="00B04017" w:rsidP="00D144FF">
            <w:pPr>
              <w:autoSpaceDE w:val="0"/>
              <w:autoSpaceDN w:val="0"/>
              <w:adjustRightInd w:val="0"/>
              <w:jc w:val="center"/>
              <w:rPr>
                <w:rFonts w:ascii="Times New Roman" w:eastAsia="Times New Roman" w:hAnsi="Times New Roman" w:cs="Times New Roman"/>
                <w:sz w:val="16"/>
                <w:szCs w:val="16"/>
                <w:lang w:eastAsia="ru-RU"/>
              </w:rPr>
            </w:pP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Долгосрочные перспективы роста экономики и благосостояния граждан Республики Татарстан предопределяют увеличение спроса на энергетические ресурсы.</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Ориентация экономики республики на энергоемкий рост, не подкрепленный широкомасштабным внедрением энергоэффективных технологий, угрожает, с одной стороны, потерей конкурентоспособности производственного сектора республики, а с другой – лавинообразной интенсификацией внутреннего спроса на энергоресурсы. В результате этого даже при достижении максимальных технически реализуемых показателей роста производства энергоресурсов спрос на них не будет обеспечен предложением. Такой путь развития неминуемо влечет за собой кризис дефицита энергетических ресурсов.</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В этих условиях особое значение приобретает реализация государственной республиканской политики управления спросом на энергетические ресурсы и энергоэффективности.</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За последнее десятилетие только наиболее энергоемкие промышленные предприятия республики активно занимались внедрением энергосберегающих производственных технологий.</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При сохранении среднегодовых темпов снижения энергоемкости ВРП Республики Татарстан на уровне, достигнутом в период 2015 – 2018 годов, показатель энергоемкости ВРП составит 20,56 тут/млн руб. к 2025 году и</w:t>
            </w:r>
            <w:r w:rsidRPr="0045577E">
              <w:rPr>
                <w:rFonts w:ascii="Times New Roman" w:eastAsia="Times New Roman" w:hAnsi="Times New Roman" w:cs="Times New Roman"/>
                <w:sz w:val="24"/>
                <w:szCs w:val="24"/>
                <w:lang w:eastAsia="ru-RU"/>
              </w:rPr>
              <w:br/>
              <w:t>20,25 тут/млн руб. к 2030 году</w:t>
            </w:r>
            <w:r w:rsidRPr="0045577E">
              <w:rPr>
                <w:rFonts w:ascii="Times New Roman" w:eastAsia="Times New Roman" w:hAnsi="Times New Roman" w:cs="Times New Roman"/>
                <w:i/>
                <w:sz w:val="24"/>
                <w:szCs w:val="24"/>
                <w:lang w:eastAsia="ru-RU"/>
              </w:rPr>
              <w:t>.</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Особое внимание следует уделить внедрению мероприятий, позволяющих обеспечить снижение потребления электрической энергии и газа.</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Повышение энергоэффективности достигается не только за счет привлечения финансовых ресурсов и правильных технических решений, но и за счет планирования, управления и контроля.</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В республике необходимо продолжить работу по совершенствованию системы индикативного управления энергоэффективностью. На основе индикаторов энергоэффективности определяются действия органов исполнительной власти и органов местного самоуправления по их снижению.</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Прямое бюджетное финансирование мероприятий по энергосбережению редко приводит к значительным долговременным результатам, так как не выполняется мониторинг осуществляемых проектов с оценкой реального экономического эффекта и отчуждением сэкономленных средств из общего финансового оборота для компенсации затрат, поощрения персонала и выполнения последующих мероприятий.</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Необходимы усилия для привлечения внебюджетных финансовых средств, которые позволили бы повысить эксплуатационную надежность и энергетическую эффективность объектов реального сектора экономики и бюджетной сферы. Одним из механизмов, решающих поставленную задачу, может стать привлечение внебюджетных средств по схеме энергосервисного контракта.</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Важным инструментом государственной политики является поддержка и стимулирование эффективного бизнеса в области энергосбережения. Необходимо вывести поддержку энергосберегающего бизнеса на качественно новый уровень, предполагающий переход от прямой финансовой помощи со стороны государства на льготных условиях к формированию системы реализации эффективных бизнес-проектов в соответствующей сфере, страхования коммерческих и некоммерческих рисков.</w:t>
            </w:r>
          </w:p>
          <w:p w:rsidR="0045577E" w:rsidRPr="0045577E" w:rsidRDefault="0045577E" w:rsidP="0045577E">
            <w:pPr>
              <w:shd w:val="clear" w:color="auto" w:fill="FFFFFF"/>
              <w:ind w:firstLine="709"/>
              <w:jc w:val="both"/>
              <w:rPr>
                <w:rFonts w:ascii="Times New Roman" w:eastAsia="Times New Roman" w:hAnsi="Times New Roman" w:cs="Times New Roman"/>
                <w:sz w:val="24"/>
                <w:szCs w:val="24"/>
                <w:lang w:eastAsia="ru-RU"/>
              </w:rPr>
            </w:pPr>
            <w:r w:rsidRPr="0045577E">
              <w:rPr>
                <w:rFonts w:ascii="Times New Roman" w:eastAsia="Times New Roman" w:hAnsi="Times New Roman" w:cs="Times New Roman"/>
                <w:sz w:val="24"/>
                <w:szCs w:val="24"/>
                <w:lang w:eastAsia="ru-RU"/>
              </w:rPr>
              <w:t>Необходимо также продолжить участие Республики Татарстан в государственных программах Российской Федерации, направленных на поддержку развития энергосбережения в регионах, в том числе с максимальным участием внебюджетных финансовых организаций.</w:t>
            </w:r>
          </w:p>
          <w:p w:rsidR="00B61D85" w:rsidRPr="00D423B2" w:rsidRDefault="00B61D85" w:rsidP="00B04017">
            <w:pPr>
              <w:shd w:val="clear" w:color="auto" w:fill="FFFFFF"/>
              <w:ind w:firstLine="709"/>
              <w:jc w:val="both"/>
              <w:rPr>
                <w:rFonts w:ascii="Times New Roman" w:eastAsia="Times New Roman" w:hAnsi="Times New Roman" w:cs="Times New Roman"/>
                <w:sz w:val="24"/>
                <w:szCs w:val="24"/>
                <w:lang w:eastAsia="ru-RU"/>
              </w:rPr>
            </w:pPr>
          </w:p>
          <w:p w:rsidR="00B61D85" w:rsidRPr="006E310A" w:rsidRDefault="00B61D85" w:rsidP="00697DE6">
            <w:pPr>
              <w:shd w:val="clear" w:color="auto" w:fill="FFFFFF"/>
              <w:ind w:firstLine="709"/>
              <w:jc w:val="both"/>
              <w:rPr>
                <w:rFonts w:ascii="Times New Roman" w:eastAsia="Times New Roman" w:hAnsi="Times New Roman" w:cs="Times New Roman"/>
                <w:b/>
                <w:sz w:val="24"/>
                <w:szCs w:val="24"/>
                <w:lang w:eastAsia="ru-RU"/>
              </w:rPr>
            </w:pPr>
            <w:r w:rsidRPr="006E310A">
              <w:rPr>
                <w:rFonts w:ascii="Times New Roman" w:eastAsia="Times New Roman" w:hAnsi="Times New Roman" w:cs="Times New Roman"/>
                <w:b/>
                <w:sz w:val="24"/>
                <w:szCs w:val="24"/>
                <w:lang w:eastAsia="ru-RU"/>
              </w:rPr>
              <w:t xml:space="preserve">4.4. Использование </w:t>
            </w:r>
            <w:r w:rsidR="00697DE6" w:rsidRPr="006E310A">
              <w:rPr>
                <w:rFonts w:ascii="Times New Roman" w:eastAsia="Times New Roman" w:hAnsi="Times New Roman" w:cs="Times New Roman"/>
                <w:b/>
                <w:sz w:val="24"/>
                <w:szCs w:val="24"/>
                <w:lang w:eastAsia="ru-RU"/>
              </w:rPr>
              <w:t xml:space="preserve">нетрадиционных и возобновляемых </w:t>
            </w:r>
            <w:r w:rsidRPr="006E310A">
              <w:rPr>
                <w:rFonts w:ascii="Times New Roman" w:eastAsia="Times New Roman" w:hAnsi="Times New Roman" w:cs="Times New Roman"/>
                <w:b/>
                <w:sz w:val="24"/>
                <w:szCs w:val="24"/>
                <w:lang w:eastAsia="ru-RU"/>
              </w:rPr>
              <w:t>источников энергии</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Развитие энергетики на основе использования возобновляемых источников энергии является составной частью энергетической политики Российской Федерации. И если традиционная энергетика основана на применении ископаемого топлива, запасы которого ограничены, и зависит от величины поставок и конъюнктуры рынка, то возобновляемая энергетика базируется на самых разных природных ресурсах, что позволяет более эффективно использовать невозобновляемые ресурсы в других отраслях экономики. Кроме того, при использовании возобновляемых источников энергии отсутствуют экологические издержки, связанные с добычей, переработкой и транспортировкой ископаемого топлива.</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Ситуация с использованием возобновляемых источников энергии (далее – ВИЭ) за последние 10 лет существенно изменилась, начиная с 2015 года в мире ежегодно вводится больше новых генерирующих мощностей на основе ВИЭ, чем на основе традиционной генерации с использованием ископаемых видов топлива (газ, уголь, мазут). Так, из введенных в эксплуатацию в 2015 году объектов генерации</w:t>
            </w:r>
            <w:r w:rsidRPr="00C953F3">
              <w:rPr>
                <w:rFonts w:ascii="Times New Roman" w:eastAsia="Times New Roman" w:hAnsi="Times New Roman" w:cs="Times New Roman"/>
                <w:sz w:val="24"/>
                <w:szCs w:val="24"/>
                <w:lang w:eastAsia="ru-RU"/>
              </w:rPr>
              <w:br/>
              <w:t xml:space="preserve">54 процента составили объекты на основе ВИЭ и 46 процентов – на основе традиционной генерации, а в 2016 году это соотношение уже составило 65 процентов – объекты на основе ВИЭ и 35 процентов – объекты на основе традиционной генерации. В 2018 году в мире было введено в эксплуатацию 60 процентов объектов генерации на основе ВИЭ и 40 процентов объектов генерации на основе традиционной генерации. Эти показатели обоснованы не только экологическими аспектами использования ВИЭ, но и технологическим развитием этой отрасли, которое привело к тому, что средняя нормированная стоимость электроэнергии на протяжении всего жизненного цикла электростанции (далее – LCOE), вырабатываемой с использованием ВИЭ, продолжает устойчиво снижаться. </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Снижение LCOE в солнечной энергетике промышленного масштаба в период 2010 – 2017 годов составило 73 процента: в 2017 году, по оценкам Международного агентства по возобновляемым источникам энергии «IRENA», эта стоимость достигла 10 центов за киловатт-час. В материковой ветроэнергетике LCOE снизилась за тот же период на 23 процента,  LCOE киловатт-часа составляет около 6 центов. В 2019 году ожидается, что лучшие проекты в солнечной и ветровой энергетике будут поставлять электроэнергию по цене около 3 центов за киловатт-час и ниже. Новые проекты в био- и геотермальной энергетике, введенные в эксплуатацию в 2017 году, имеют LCOE в 7 центов за киловатт-час.</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В солнечной энергетике в среднем по миру коэффициент использования установленной мощности (далее – КИУМ) вырос и достиг величины 17,6 процента; в материковой ветроэнергетике среднемировой КИУМ вырос с 27 до 30 процентов. В офшорной ветроэнергетике он составляет 39 процентов.</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 xml:space="preserve">При этом нужно отметить, что государственная поддержка «зеленых технологий» во многих развитых странах существенно сокращается, а в 2018 году были введены в эксплуатацию первые объекты генерации на основе ВИЭ без использования субсидий и мер государственной поддержки, что говорит о рыночной конкурентоспособности технологий генерации на основе ВИЭ. </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 xml:space="preserve">В 2013 году в Российской Федерации начали предприниматься первые реальные шаги, направленные на расширение производства электроэнергии на основе ВИЭ. Начата реализация проектов на оптовом рынке электроэнергии и мощности за счет мер государственного стимулирования – механизма договоров на поставку мощности (далее – ДПМ) для энергоисточников на основе ВИЭ. На оптовом рынке электроэнергии и мощности могут эффективно работать и развиваться проекты, которые прошли конкурсный отбор по программе ДПМ ВИЭ. </w:t>
            </w:r>
          </w:p>
          <w:p w:rsidR="00C953F3" w:rsidRPr="00C953F3" w:rsidRDefault="00C953F3" w:rsidP="00C953F3">
            <w:pPr>
              <w:shd w:val="clear" w:color="auto" w:fill="FFFFFF"/>
              <w:ind w:firstLine="709"/>
              <w:jc w:val="both"/>
              <w:rPr>
                <w:rFonts w:ascii="Times New Roman" w:eastAsia="Times New Roman" w:hAnsi="Times New Roman" w:cs="Times New Roman"/>
                <w:sz w:val="24"/>
                <w:szCs w:val="24"/>
                <w:lang w:eastAsia="ru-RU"/>
              </w:rPr>
            </w:pPr>
            <w:r w:rsidRPr="00C953F3">
              <w:rPr>
                <w:rFonts w:ascii="Times New Roman" w:eastAsia="Times New Roman" w:hAnsi="Times New Roman" w:cs="Times New Roman"/>
                <w:sz w:val="24"/>
                <w:szCs w:val="24"/>
                <w:lang w:eastAsia="ru-RU"/>
              </w:rPr>
              <w:t>За 2015 – 2018 годы суммарный объем ввода объектов солнечной и ветровой генерации в России составил около 620 МВт (в пределах ЕЭС России), из которых 85 процентов пришлось на солнечные станции, 15 процентов – на ветровые станции. За 2017 год в России было построено больше мощностей возобновляемых источников энергии, чем за предыдущие два года: в 2015 – 2016 годах было введено 130 МВт ВИЭ, а в 2017 году – 140 МВт, из них более 100 МВт приходятся на солнечные электростанции, 35 МВт – на первый крупный ветропарк. </w:t>
            </w:r>
          </w:p>
          <w:p w:rsidR="00EE4950" w:rsidRPr="00D423B2" w:rsidRDefault="00EE4950" w:rsidP="00B61D85">
            <w:pPr>
              <w:shd w:val="clear" w:color="auto" w:fill="FFFFFF"/>
              <w:ind w:firstLine="709"/>
              <w:jc w:val="both"/>
              <w:rPr>
                <w:rFonts w:ascii="Times New Roman" w:eastAsia="Times New Roman" w:hAnsi="Times New Roman" w:cs="Times New Roman"/>
                <w:sz w:val="24"/>
                <w:szCs w:val="24"/>
                <w:lang w:eastAsia="ru-RU"/>
              </w:rPr>
            </w:pPr>
          </w:p>
          <w:p w:rsidR="00EE4950" w:rsidRPr="00D423B2" w:rsidRDefault="00EE4950" w:rsidP="00B61D85">
            <w:pPr>
              <w:shd w:val="clear" w:color="auto" w:fill="FFFFFF"/>
              <w:ind w:firstLine="709"/>
              <w:jc w:val="both"/>
              <w:rPr>
                <w:rFonts w:ascii="Times New Roman" w:eastAsia="Times New Roman" w:hAnsi="Times New Roman" w:cs="Times New Roman"/>
                <w:sz w:val="24"/>
                <w:szCs w:val="24"/>
                <w:lang w:eastAsia="ru-RU"/>
              </w:rPr>
            </w:pPr>
          </w:p>
          <w:p w:rsidR="00B04017" w:rsidRPr="00D423B2" w:rsidRDefault="00EE4950" w:rsidP="00D144FF">
            <w:pPr>
              <w:autoSpaceDE w:val="0"/>
              <w:autoSpaceDN w:val="0"/>
              <w:adjustRightInd w:val="0"/>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noProof/>
                <w:sz w:val="16"/>
                <w:szCs w:val="16"/>
                <w:lang w:eastAsia="ru-RU"/>
              </w:rPr>
              <w:drawing>
                <wp:inline distT="0" distB="0" distL="0" distR="0" wp14:anchorId="23E1955F" wp14:editId="202C25F8">
                  <wp:extent cx="2798445" cy="956945"/>
                  <wp:effectExtent l="0" t="0" r="190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98445" cy="956945"/>
                          </a:xfrm>
                          <a:prstGeom prst="rect">
                            <a:avLst/>
                          </a:prstGeom>
                          <a:noFill/>
                        </pic:spPr>
                      </pic:pic>
                    </a:graphicData>
                  </a:graphic>
                </wp:inline>
              </w:drawing>
            </w:r>
          </w:p>
          <w:p w:rsidR="00EE4950" w:rsidRPr="00D423B2" w:rsidRDefault="00EE4950" w:rsidP="00D144FF">
            <w:pPr>
              <w:autoSpaceDE w:val="0"/>
              <w:autoSpaceDN w:val="0"/>
              <w:adjustRightInd w:val="0"/>
              <w:jc w:val="center"/>
              <w:rPr>
                <w:rFonts w:ascii="Times New Roman" w:eastAsia="Times New Roman" w:hAnsi="Times New Roman" w:cs="Times New Roman"/>
                <w:sz w:val="16"/>
                <w:szCs w:val="16"/>
                <w:lang w:eastAsia="ru-RU"/>
              </w:rPr>
            </w:pPr>
          </w:p>
          <w:p w:rsidR="00EA7711" w:rsidRPr="00EA7711" w:rsidRDefault="00EA7711" w:rsidP="00EA7711">
            <w:pPr>
              <w:shd w:val="clear" w:color="auto" w:fill="FFFFFF"/>
              <w:autoSpaceDE w:val="0"/>
              <w:autoSpaceDN w:val="0"/>
              <w:adjustRightInd w:val="0"/>
              <w:ind w:firstLine="709"/>
              <w:jc w:val="center"/>
              <w:rPr>
                <w:rFonts w:ascii="Times New Roman" w:eastAsia="Times New Roman" w:hAnsi="Times New Roman" w:cs="Times New Roman"/>
                <w:sz w:val="16"/>
                <w:szCs w:val="16"/>
                <w:lang w:eastAsia="ru-RU"/>
              </w:rPr>
            </w:pPr>
            <w:r w:rsidRPr="00EA7711">
              <w:rPr>
                <w:rFonts w:ascii="Times New Roman" w:eastAsia="Times New Roman" w:hAnsi="Times New Roman" w:cs="Times New Roman"/>
                <w:sz w:val="16"/>
                <w:szCs w:val="16"/>
                <w:lang w:eastAsia="ru-RU"/>
              </w:rPr>
              <w:t>Рис. 29. Ввод в строй мощностей ВИЭ-генерации в ЕЭС России через механизм ДПМ ВИЭ</w:t>
            </w:r>
          </w:p>
          <w:p w:rsidR="00EE4950" w:rsidRPr="00D423B2" w:rsidRDefault="00EE4950" w:rsidP="00EA7711">
            <w:pPr>
              <w:shd w:val="clear" w:color="auto" w:fill="FFFFFF"/>
              <w:autoSpaceDE w:val="0"/>
              <w:autoSpaceDN w:val="0"/>
              <w:adjustRightInd w:val="0"/>
              <w:ind w:firstLine="709"/>
              <w:jc w:val="center"/>
              <w:rPr>
                <w:rFonts w:ascii="Times New Roman" w:eastAsia="Times New Roman" w:hAnsi="Times New Roman" w:cs="Times New Roman"/>
                <w:sz w:val="16"/>
                <w:szCs w:val="16"/>
                <w:lang w:eastAsia="ru-RU"/>
              </w:rPr>
            </w:pPr>
          </w:p>
          <w:p w:rsidR="00B745E2" w:rsidRPr="00B745E2" w:rsidRDefault="00B745E2" w:rsidP="00B745E2">
            <w:pPr>
              <w:ind w:firstLine="709"/>
              <w:jc w:val="both"/>
              <w:rPr>
                <w:rFonts w:ascii="Times New Roman" w:eastAsia="Times New Roman" w:hAnsi="Times New Roman" w:cs="Times New Roman"/>
                <w:sz w:val="24"/>
                <w:szCs w:val="24"/>
                <w:lang w:eastAsia="ru-RU"/>
              </w:rPr>
            </w:pPr>
            <w:r w:rsidRPr="00B745E2">
              <w:rPr>
                <w:rFonts w:ascii="Times New Roman" w:eastAsia="Times New Roman" w:hAnsi="Times New Roman" w:cs="Times New Roman"/>
                <w:sz w:val="24"/>
                <w:szCs w:val="24"/>
                <w:lang w:eastAsia="ru-RU"/>
              </w:rPr>
              <w:t>По результатам конкурсных отборов по программе ДПМ ВИЭ к 2024 году в России будет построено 3,3 ГВт мощностей генерации на основе энергии ветра,</w:t>
            </w:r>
            <w:r w:rsidRPr="00B745E2">
              <w:rPr>
                <w:rFonts w:ascii="Times New Roman" w:eastAsia="Times New Roman" w:hAnsi="Times New Roman" w:cs="Times New Roman"/>
                <w:sz w:val="24"/>
                <w:szCs w:val="24"/>
                <w:lang w:eastAsia="ru-RU"/>
              </w:rPr>
              <w:br/>
              <w:t xml:space="preserve">1,8 ГВт мощностей на основе энергии солнца и более 0,4 ГВт генерации на основе использования ТБО. </w:t>
            </w:r>
          </w:p>
          <w:p w:rsidR="00B745E2" w:rsidRPr="00B745E2" w:rsidRDefault="00B745E2" w:rsidP="00B745E2">
            <w:pPr>
              <w:ind w:firstLine="709"/>
              <w:jc w:val="both"/>
              <w:rPr>
                <w:rFonts w:ascii="Times New Roman" w:eastAsia="Times New Roman" w:hAnsi="Times New Roman" w:cs="Times New Roman"/>
                <w:sz w:val="24"/>
                <w:szCs w:val="24"/>
                <w:lang w:eastAsia="ru-RU"/>
              </w:rPr>
            </w:pPr>
            <w:r w:rsidRPr="00B745E2">
              <w:rPr>
                <w:rFonts w:ascii="Times New Roman" w:eastAsia="Times New Roman" w:hAnsi="Times New Roman" w:cs="Times New Roman"/>
                <w:sz w:val="24"/>
                <w:szCs w:val="24"/>
                <w:lang w:eastAsia="ru-RU"/>
              </w:rPr>
              <w:t>Развитие проектов ВИЭ на розничных рынках электроэнергии нацелено в первую очередь на энергоснабжение изолированных и труднодоступных населенных пунктов.</w:t>
            </w:r>
          </w:p>
          <w:p w:rsidR="00B745E2" w:rsidRPr="00B745E2" w:rsidRDefault="00B745E2" w:rsidP="00B745E2">
            <w:pPr>
              <w:ind w:firstLine="709"/>
              <w:jc w:val="both"/>
              <w:rPr>
                <w:rFonts w:ascii="Times New Roman" w:eastAsia="Times New Roman" w:hAnsi="Times New Roman" w:cs="Times New Roman"/>
                <w:sz w:val="24"/>
                <w:szCs w:val="24"/>
                <w:lang w:eastAsia="ru-RU"/>
              </w:rPr>
            </w:pPr>
            <w:r w:rsidRPr="00B745E2">
              <w:rPr>
                <w:rFonts w:ascii="Times New Roman" w:eastAsia="Times New Roman" w:hAnsi="Times New Roman" w:cs="Times New Roman"/>
                <w:sz w:val="24"/>
                <w:szCs w:val="24"/>
                <w:lang w:eastAsia="ru-RU"/>
              </w:rPr>
              <w:t xml:space="preserve">На розничном рынке электроэнергии поддержка объектов ВИЭ возможна путем включения объектов ВИЭ-генерации в региональные схемы и программы развития электроэнергетики и формирования для них долгосрочных тарифов с обязанностью сетевой компании покупать электроэнергию на компенсацию потерь. При этом важной составляющей является минимизация роста тарифов на электрическую энергию для потребителей. </w:t>
            </w:r>
          </w:p>
          <w:p w:rsidR="00B745E2" w:rsidRPr="00B745E2" w:rsidRDefault="00B745E2" w:rsidP="00B745E2">
            <w:pPr>
              <w:ind w:firstLine="709"/>
              <w:jc w:val="both"/>
              <w:rPr>
                <w:rFonts w:ascii="Times New Roman" w:eastAsia="Times New Roman" w:hAnsi="Times New Roman" w:cs="Times New Roman"/>
                <w:sz w:val="24"/>
                <w:szCs w:val="24"/>
                <w:lang w:eastAsia="ru-RU"/>
              </w:rPr>
            </w:pPr>
            <w:r w:rsidRPr="00B745E2">
              <w:rPr>
                <w:rFonts w:ascii="Times New Roman" w:eastAsia="Times New Roman" w:hAnsi="Times New Roman" w:cs="Times New Roman"/>
                <w:sz w:val="24"/>
                <w:szCs w:val="24"/>
                <w:lang w:eastAsia="ru-RU"/>
              </w:rPr>
              <w:t xml:space="preserve">В настоящее время в Российской Федерации также рассматривается развитие рынка распределенной микрогенерации электроэнергии на основе ВИЭ, предусматривающего использование потребителями объектов по производству электроэнергии мощностью до 15 кВт включительно для собственного энергоснабжения и возможность продажи излишков вырабатываемой электроэнергии на розничном рынке. </w:t>
            </w:r>
          </w:p>
          <w:p w:rsidR="00B745E2" w:rsidRPr="00B745E2" w:rsidRDefault="00B745E2" w:rsidP="00B745E2">
            <w:pPr>
              <w:ind w:firstLine="709"/>
              <w:jc w:val="both"/>
              <w:rPr>
                <w:rFonts w:ascii="Times New Roman" w:eastAsia="Times New Roman" w:hAnsi="Times New Roman" w:cs="Times New Roman"/>
                <w:sz w:val="24"/>
                <w:szCs w:val="24"/>
                <w:lang w:eastAsia="ru-RU"/>
              </w:rPr>
            </w:pPr>
            <w:r w:rsidRPr="00B745E2">
              <w:rPr>
                <w:rFonts w:ascii="Times New Roman" w:eastAsia="Times New Roman" w:hAnsi="Times New Roman" w:cs="Times New Roman"/>
                <w:sz w:val="24"/>
                <w:szCs w:val="24"/>
                <w:lang w:eastAsia="ru-RU"/>
              </w:rPr>
              <w:t xml:space="preserve">Основным потенциалом для развития микрогенерации на ВИЭ обладают частные дома в сельских населенных пунктах, дачные поселения, а также небольшие производственные поселения промышленного или сельскохозяйственного назначения. </w:t>
            </w:r>
          </w:p>
          <w:p w:rsidR="00EE4950" w:rsidRPr="00D423B2" w:rsidRDefault="00EE4950" w:rsidP="00B745E2">
            <w:pPr>
              <w:jc w:val="both"/>
              <w:rPr>
                <w:rFonts w:ascii="Times New Roman" w:eastAsia="Times New Roman" w:hAnsi="Times New Roman" w:cs="Times New Roman"/>
                <w:b/>
                <w:sz w:val="24"/>
                <w:szCs w:val="24"/>
              </w:rPr>
            </w:pPr>
          </w:p>
          <w:p w:rsidR="00EE4950" w:rsidRPr="00D423B2" w:rsidRDefault="00EE4950" w:rsidP="00EE4950">
            <w:pPr>
              <w:ind w:firstLine="709"/>
              <w:rPr>
                <w:rFonts w:ascii="Times New Roman" w:eastAsia="Times New Roman" w:hAnsi="Times New Roman" w:cs="Times New Roman"/>
                <w:sz w:val="24"/>
                <w:szCs w:val="24"/>
                <w:lang w:eastAsia="ru-RU"/>
              </w:rPr>
            </w:pPr>
            <w:r w:rsidRPr="00D423B2">
              <w:rPr>
                <w:rFonts w:ascii="Times New Roman" w:eastAsia="Times New Roman" w:hAnsi="Times New Roman" w:cs="Times New Roman"/>
                <w:sz w:val="24"/>
                <w:szCs w:val="24"/>
                <w:lang w:eastAsia="ru-RU"/>
              </w:rPr>
              <w:t>4.4.1. Ветроэнергетика</w:t>
            </w:r>
          </w:p>
          <w:p w:rsidR="00EE4950" w:rsidRPr="00D423B2" w:rsidRDefault="00EE4950" w:rsidP="00EE4950">
            <w:pPr>
              <w:ind w:firstLine="709"/>
              <w:jc w:val="both"/>
              <w:rPr>
                <w:rFonts w:ascii="Times New Roman" w:eastAsia="Times New Roman" w:hAnsi="Times New Roman" w:cs="Times New Roman"/>
                <w:sz w:val="24"/>
                <w:szCs w:val="24"/>
                <w:lang w:eastAsia="ru-RU"/>
              </w:rPr>
            </w:pP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 xml:space="preserve">Согласно государственной программе поддержки ВИЭ к 2024 году в эксплуатацию в России должно быть введено 3 350 МВт мощностей ветрогенерации, в том числе 100 МВт на территории Республики Татарстан в 2022 году. Основным условием для предоставления государственной поддержки являются требования по локализации оборудования ВЭУ до установленных Правительством Российской Федерации значений. К началу 2019 года по ДПМ ВИЭ введены в эксплуатацию два ветропарка с суммарной мощностью 85 МВт в Ульяновской области.  </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 xml:space="preserve"> В настоящее время рассматривается продление программы ДПМ ВИЭ </w:t>
            </w:r>
            <w:r w:rsidRPr="002E38F7">
              <w:rPr>
                <w:rFonts w:ascii="Times New Roman" w:eastAsia="Times New Roman" w:hAnsi="Times New Roman" w:cs="Times New Roman"/>
                <w:sz w:val="24"/>
                <w:szCs w:val="24"/>
                <w:lang w:eastAsia="ru-RU"/>
              </w:rPr>
              <w:br/>
              <w:t>до 2035 года с увеличением объемов ввода новой генерации на основе ВИЭ не менее</w:t>
            </w:r>
            <w:r w:rsidRPr="002E38F7">
              <w:rPr>
                <w:rFonts w:ascii="Times New Roman" w:eastAsia="Times New Roman" w:hAnsi="Times New Roman" w:cs="Times New Roman"/>
                <w:sz w:val="24"/>
                <w:szCs w:val="24"/>
                <w:lang w:eastAsia="ru-RU"/>
              </w:rPr>
              <w:br/>
              <w:t>10 ГВт.</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Основными девелоперами оптового рынка ветроэнергетики в Российской Федерации являются: ООО «Ветропарки ФРВ» – дивизион «Роснано» и «Фортум», АО «Нова Винд» – дивизион Росатома, ПАО «Энел Россия».</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 xml:space="preserve">Использование энергии ветра для промышленного производства электроэнергии является в настоящее время наиболее проработанным направлением использования ВИЭ в Республике Татарстан. </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На рисунке 30 представлена карта распределения среднегодовых скоростей ветров по территории Республики Татарстан. Как видно из рисунка, в Республике Татарстан можно выделить три основных зоны со среднегодовыми скоростями ветра, способными обеспечить коммерческое использование энергии ветра для генерации электроэнергии:</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зона Куйбышевского водохранилища в месте слияния рек Волга и Кама. Средняя годовая скорость ветров в данной зоне на высоте 100 метров по данным VORTEX, составляет 7,15 м/с;</w:t>
            </w:r>
          </w:p>
          <w:p w:rsidR="002E38F7" w:rsidRP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зона Нижнекамского водохранилища, на берегах которого возможно строительство ветроэлектростанций.  Средняя годовая скорость ветров в данной зоне на высоте 100 метров, по данным VORTEX, составляет 7,08 м/с;</w:t>
            </w:r>
          </w:p>
          <w:p w:rsidR="002E38F7" w:rsidRDefault="002E38F7" w:rsidP="002E38F7">
            <w:pPr>
              <w:ind w:firstLine="709"/>
              <w:jc w:val="both"/>
              <w:rPr>
                <w:rFonts w:ascii="Times New Roman" w:eastAsia="Times New Roman" w:hAnsi="Times New Roman" w:cs="Times New Roman"/>
                <w:sz w:val="24"/>
                <w:szCs w:val="24"/>
                <w:lang w:eastAsia="ru-RU"/>
              </w:rPr>
            </w:pPr>
            <w:r w:rsidRPr="002E38F7">
              <w:rPr>
                <w:rFonts w:ascii="Times New Roman" w:eastAsia="Times New Roman" w:hAnsi="Times New Roman" w:cs="Times New Roman"/>
                <w:sz w:val="24"/>
                <w:szCs w:val="24"/>
                <w:lang w:eastAsia="ru-RU"/>
              </w:rPr>
              <w:t xml:space="preserve"> юго-восточная часть республики. В данной зоне также преобладают ветры со скоростью выше 7 м/с, однако этот район имеет холмистый рельеф и на его территории сильно развита инфраструктура нефтедобычи, что накладывает определенные сложности для проектирования и строительства крупных промышленных ветропарков.</w:t>
            </w:r>
          </w:p>
          <w:p w:rsidR="003F55FC" w:rsidRPr="002E38F7" w:rsidRDefault="003F55FC" w:rsidP="003F55FC">
            <w:pPr>
              <w:jc w:val="both"/>
              <w:rPr>
                <w:rFonts w:ascii="Times New Roman" w:eastAsia="Times New Roman" w:hAnsi="Times New Roman" w:cs="Times New Roman"/>
                <w:sz w:val="24"/>
                <w:szCs w:val="24"/>
                <w:lang w:eastAsia="ru-RU"/>
              </w:rPr>
            </w:pPr>
          </w:p>
          <w:p w:rsidR="002023B3" w:rsidRDefault="002023B3" w:rsidP="002023B3">
            <w:pPr>
              <w:pStyle w:val="1"/>
              <w:ind w:firstLine="709"/>
              <w:jc w:val="center"/>
              <w:rPr>
                <w:rFonts w:ascii="Times New Roman" w:hAnsi="Times New Roman"/>
                <w:sz w:val="24"/>
                <w:szCs w:val="24"/>
                <w:lang w:val="ru-RU" w:eastAsia="ru-RU"/>
              </w:rPr>
            </w:pPr>
          </w:p>
          <w:p w:rsidR="003F55FC" w:rsidRPr="00D423B2" w:rsidRDefault="003F55FC" w:rsidP="002023B3">
            <w:pPr>
              <w:pStyle w:val="1"/>
              <w:ind w:firstLine="709"/>
              <w:jc w:val="center"/>
              <w:rPr>
                <w:rFonts w:ascii="Times New Roman" w:hAnsi="Times New Roman"/>
                <w:sz w:val="24"/>
                <w:szCs w:val="24"/>
                <w:lang w:val="ru-RU" w:eastAsia="ru-RU"/>
              </w:rPr>
            </w:pPr>
            <w:r>
              <w:rPr>
                <w:rFonts w:ascii="Times New Roman" w:hAnsi="Times New Roman"/>
                <w:noProof/>
                <w:sz w:val="24"/>
                <w:szCs w:val="24"/>
                <w:lang w:val="ru-RU" w:eastAsia="ru-RU"/>
              </w:rPr>
              <w:drawing>
                <wp:inline distT="0" distB="0" distL="0" distR="0" wp14:anchorId="6BA7139F">
                  <wp:extent cx="2444750" cy="1237615"/>
                  <wp:effectExtent l="0" t="0" r="0"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44750" cy="1237615"/>
                          </a:xfrm>
                          <a:prstGeom prst="rect">
                            <a:avLst/>
                          </a:prstGeom>
                          <a:noFill/>
                        </pic:spPr>
                      </pic:pic>
                    </a:graphicData>
                  </a:graphic>
                </wp:inline>
              </w:drawing>
            </w:r>
          </w:p>
          <w:p w:rsidR="00EE4950" w:rsidRPr="00D423B2" w:rsidRDefault="00EE4950" w:rsidP="00603A5E">
            <w:pPr>
              <w:shd w:val="clear" w:color="auto" w:fill="FFFFFF"/>
              <w:autoSpaceDE w:val="0"/>
              <w:autoSpaceDN w:val="0"/>
              <w:adjustRightInd w:val="0"/>
              <w:rPr>
                <w:rFonts w:ascii="Times New Roman" w:eastAsia="Times New Roman" w:hAnsi="Times New Roman" w:cs="Times New Roman"/>
                <w:sz w:val="24"/>
                <w:szCs w:val="24"/>
                <w:lang w:eastAsia="ru-RU"/>
              </w:rPr>
            </w:pPr>
          </w:p>
          <w:p w:rsidR="00603A5E" w:rsidRPr="00603A5E" w:rsidRDefault="00603A5E" w:rsidP="00603A5E">
            <w:pPr>
              <w:autoSpaceDE w:val="0"/>
              <w:autoSpaceDN w:val="0"/>
              <w:adjustRightInd w:val="0"/>
              <w:jc w:val="center"/>
              <w:rPr>
                <w:rFonts w:ascii="Times New Roman" w:eastAsia="Times New Roman" w:hAnsi="Times New Roman" w:cs="Times New Roman"/>
                <w:sz w:val="16"/>
                <w:szCs w:val="16"/>
                <w:lang w:eastAsia="ru-RU"/>
              </w:rPr>
            </w:pPr>
            <w:r w:rsidRPr="00603A5E">
              <w:rPr>
                <w:rFonts w:ascii="Times New Roman" w:eastAsia="Times New Roman" w:hAnsi="Times New Roman" w:cs="Times New Roman"/>
                <w:sz w:val="16"/>
                <w:szCs w:val="16"/>
                <w:lang w:eastAsia="ru-RU"/>
              </w:rPr>
              <w:t xml:space="preserve">Рис. 30. Карта распределения среднегодовых скоростей ветров </w:t>
            </w:r>
            <w:r w:rsidRPr="00603A5E">
              <w:rPr>
                <w:rFonts w:ascii="Times New Roman" w:eastAsia="Times New Roman" w:hAnsi="Times New Roman" w:cs="Times New Roman"/>
                <w:sz w:val="16"/>
                <w:szCs w:val="16"/>
                <w:lang w:eastAsia="ru-RU"/>
              </w:rPr>
              <w:br/>
              <w:t>по территории Республики Татарстан</w:t>
            </w:r>
          </w:p>
          <w:p w:rsidR="00DA3645" w:rsidRPr="00D423B2" w:rsidRDefault="00DA3645" w:rsidP="00D2265E">
            <w:pPr>
              <w:tabs>
                <w:tab w:val="left" w:pos="1515"/>
              </w:tabs>
              <w:jc w:val="center"/>
              <w:rPr>
                <w:rFonts w:ascii="Times New Roman" w:hAnsi="Times New Roman" w:cs="Times New Roman"/>
                <w:sz w:val="24"/>
                <w:szCs w:val="24"/>
              </w:rPr>
            </w:pP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Начиная с 2018 года при участии Казанского государственного энергетического университета реализуется проект по ветромониторингу в трех муниципальных районах Республики Татарстан: Спасском, Камско-Устьинском и Рыбно-Слободском.</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Задачей ветромониторинга является установление в заданных районах оптимальных площадок для размещения ветропарков, для этого необходимы проведение метеорологических измерений, обработка и верификация параметров метеоданных в течение 12 месяцев. В связи с этим производятся определение и статистический анализ следующих параметров:</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 xml:space="preserve">значение средней скорости ветра; </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определение преобладающего направления ветра;</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распределение скорости ветра по направлениям (Frequency Rose);</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распределение мощности ветрового потока по направлениям (Energy Rose);</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параметры распределения Вейбулла;</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параметры вертикального профиля ветра.</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 xml:space="preserve">В каждом из этих районов были проработаны площадки, потенциально пригодные для размещения крупных промышленных ветроэлектростанций. </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В Камско-Устьинском районе определены 8 площадок, на которых возможно размещение промышленных парков. На каждой из площадок возможно разместить до 20 ветротурбин мощностью до 4,3 МВт.</w:t>
            </w:r>
          </w:p>
          <w:p w:rsidR="007748EB" w:rsidRPr="007748EB" w:rsidRDefault="007748EB" w:rsidP="007748EB">
            <w:pPr>
              <w:ind w:firstLine="709"/>
              <w:jc w:val="both"/>
              <w:rPr>
                <w:rFonts w:ascii="Times New Roman" w:eastAsia="Times New Roman" w:hAnsi="Times New Roman" w:cs="Times New Roman"/>
                <w:sz w:val="24"/>
                <w:szCs w:val="24"/>
                <w:lang w:eastAsia="ru-RU"/>
              </w:rPr>
            </w:pPr>
            <w:r w:rsidRPr="007748EB">
              <w:rPr>
                <w:rFonts w:ascii="Times New Roman" w:eastAsia="Times New Roman" w:hAnsi="Times New Roman" w:cs="Times New Roman"/>
                <w:sz w:val="24"/>
                <w:szCs w:val="24"/>
                <w:lang w:eastAsia="ru-RU"/>
              </w:rPr>
              <w:t>В Рыбно-Слободском районе Республики Татарстан определены 6 площадок для потенциального размещения ветропарков единичной мощностью более 35 МВт. Каждая из площадок удовлетворяет требованиям для размещения оптовых объектов генерации на основе энергии ветра.</w:t>
            </w:r>
          </w:p>
          <w:p w:rsidR="00EC0E80" w:rsidRDefault="00EC0E80" w:rsidP="00EC0E80">
            <w:pPr>
              <w:tabs>
                <w:tab w:val="left" w:pos="1515"/>
              </w:tabs>
              <w:jc w:val="center"/>
              <w:rPr>
                <w:rFonts w:ascii="Times New Roman" w:eastAsia="Times New Roman" w:hAnsi="Times New Roman" w:cs="Times New Roman"/>
                <w:sz w:val="24"/>
                <w:szCs w:val="24"/>
                <w:lang w:eastAsia="ru-RU"/>
              </w:rPr>
            </w:pPr>
          </w:p>
          <w:p w:rsidR="00284F33" w:rsidRPr="00D423B2" w:rsidRDefault="00284F33" w:rsidP="00EC0E80">
            <w:pPr>
              <w:tabs>
                <w:tab w:val="left" w:pos="1515"/>
              </w:tabs>
              <w:jc w:val="center"/>
              <w:rPr>
                <w:rFonts w:ascii="Times New Roman" w:eastAsia="Times New Roman" w:hAnsi="Times New Roman" w:cs="Times New Roman"/>
                <w:sz w:val="24"/>
                <w:szCs w:val="24"/>
                <w:lang w:eastAsia="ru-RU"/>
              </w:rPr>
            </w:pPr>
          </w:p>
          <w:p w:rsidR="00EC0E80" w:rsidRPr="00D423B2" w:rsidRDefault="00434C08" w:rsidP="00EC0E80">
            <w:pPr>
              <w:tabs>
                <w:tab w:val="left" w:pos="15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7783F8F6">
                  <wp:extent cx="2892273" cy="1371600"/>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95340" cy="1373054"/>
                          </a:xfrm>
                          <a:prstGeom prst="rect">
                            <a:avLst/>
                          </a:prstGeom>
                          <a:noFill/>
                        </pic:spPr>
                      </pic:pic>
                    </a:graphicData>
                  </a:graphic>
                </wp:inline>
              </w:drawing>
            </w:r>
          </w:p>
          <w:p w:rsidR="009D3F66" w:rsidRDefault="009D3F66" w:rsidP="009D3F66">
            <w:pPr>
              <w:tabs>
                <w:tab w:val="left" w:pos="1515"/>
              </w:tabs>
              <w:rPr>
                <w:rFonts w:ascii="Times New Roman" w:hAnsi="Times New Roman" w:cs="Times New Roman"/>
                <w:sz w:val="24"/>
                <w:szCs w:val="24"/>
              </w:rPr>
            </w:pPr>
          </w:p>
          <w:p w:rsidR="009D3F66" w:rsidRPr="009D3F66" w:rsidRDefault="009D3F66" w:rsidP="009D3F66">
            <w:pPr>
              <w:tabs>
                <w:tab w:val="left" w:pos="1515"/>
              </w:tabs>
              <w:jc w:val="center"/>
              <w:rPr>
                <w:rFonts w:ascii="Times New Roman" w:hAnsi="Times New Roman"/>
                <w:sz w:val="16"/>
                <w:szCs w:val="16"/>
                <w:lang w:eastAsia="ru-RU"/>
              </w:rPr>
            </w:pPr>
            <w:r w:rsidRPr="009D3F66">
              <w:rPr>
                <w:rFonts w:ascii="Times New Roman" w:hAnsi="Times New Roman"/>
                <w:sz w:val="16"/>
                <w:szCs w:val="16"/>
                <w:lang w:eastAsia="ru-RU"/>
              </w:rPr>
              <w:t>Рис. 31. Ветроэнергетический потенциал перспективных районов Республики Татарстан</w:t>
            </w:r>
            <w:r>
              <w:rPr>
                <w:rFonts w:ascii="Times New Roman" w:hAnsi="Times New Roman"/>
                <w:sz w:val="16"/>
                <w:szCs w:val="16"/>
                <w:lang w:eastAsia="ru-RU"/>
              </w:rPr>
              <w:t xml:space="preserve"> </w:t>
            </w:r>
            <w:r w:rsidRPr="009D3F66">
              <w:rPr>
                <w:rFonts w:ascii="Times New Roman" w:hAnsi="Times New Roman"/>
                <w:sz w:val="16"/>
                <w:szCs w:val="16"/>
                <w:lang w:eastAsia="ru-RU"/>
              </w:rPr>
              <w:t>для размещения ветроэлектростанций</w:t>
            </w:r>
          </w:p>
          <w:p w:rsidR="00EC0E80" w:rsidRPr="00D423B2" w:rsidRDefault="00EC0E80" w:rsidP="00D2265E">
            <w:pPr>
              <w:tabs>
                <w:tab w:val="left" w:pos="1515"/>
              </w:tabs>
              <w:jc w:val="center"/>
              <w:rPr>
                <w:rFonts w:ascii="Times New Roman" w:hAnsi="Times New Roman" w:cs="Times New Roman"/>
                <w:sz w:val="24"/>
                <w:szCs w:val="24"/>
              </w:rPr>
            </w:pPr>
          </w:p>
          <w:p w:rsidR="00144D6E" w:rsidRPr="00144D6E" w:rsidRDefault="00144D6E" w:rsidP="00144D6E">
            <w:pPr>
              <w:autoSpaceDE w:val="0"/>
              <w:autoSpaceDN w:val="0"/>
              <w:adjustRightInd w:val="0"/>
              <w:jc w:val="both"/>
              <w:outlineLvl w:val="2"/>
              <w:rPr>
                <w:rFonts w:ascii="Times New Roman" w:eastAsia="Times New Roman" w:hAnsi="Times New Roman" w:cs="Times New Roman"/>
                <w:sz w:val="24"/>
                <w:szCs w:val="24"/>
                <w:lang w:eastAsia="ru-RU"/>
              </w:rPr>
            </w:pPr>
            <w:r w:rsidRPr="00144D6E">
              <w:rPr>
                <w:rFonts w:ascii="Times New Roman" w:eastAsia="Times New Roman" w:hAnsi="Times New Roman" w:cs="Times New Roman"/>
                <w:sz w:val="24"/>
                <w:szCs w:val="24"/>
                <w:lang w:eastAsia="ru-RU"/>
              </w:rPr>
              <w:t xml:space="preserve">            В Спасском районе республики определены 6 потенциально пригодных площадок для размещения крупных промышленных парков, при этом каждая из площадок обладает высокой единичной мощностью и способна разместить ветроэлектростанции мощностью свыше 100 МВт. При создании в данном районе разветвленной сети линии электропередач напряжением 110 – 220 кВ Спасский район может стать одним из лидеров по размещению объектов генерации как на основе ветра, так и на основе солнечной энергии. </w:t>
            </w:r>
          </w:p>
          <w:p w:rsidR="00144D6E" w:rsidRPr="00144D6E" w:rsidRDefault="008D094B" w:rsidP="00144D6E">
            <w:pPr>
              <w:autoSpaceDE w:val="0"/>
              <w:autoSpaceDN w:val="0"/>
              <w:adjustRightInd w:val="0"/>
              <w:jc w:val="both"/>
              <w:outlineLvl w:val="2"/>
              <w:rPr>
                <w:rFonts w:ascii="Times New Roman" w:eastAsia="Times New Roman" w:hAnsi="Times New Roman" w:cs="Times New Roman"/>
                <w:sz w:val="24"/>
                <w:szCs w:val="24"/>
                <w:lang w:eastAsia="ru-RU"/>
              </w:rPr>
            </w:pPr>
            <w:r w:rsidRPr="008C6C2E">
              <w:rPr>
                <w:rFonts w:ascii="Times New Roman" w:eastAsia="Times New Roman" w:hAnsi="Times New Roman" w:cs="Times New Roman"/>
                <w:sz w:val="24"/>
                <w:szCs w:val="24"/>
                <w:lang w:eastAsia="ru-RU"/>
              </w:rPr>
              <w:t xml:space="preserve">            </w:t>
            </w:r>
            <w:r w:rsidR="00144D6E" w:rsidRPr="00144D6E">
              <w:rPr>
                <w:rFonts w:ascii="Times New Roman" w:eastAsia="Times New Roman" w:hAnsi="Times New Roman" w:cs="Times New Roman"/>
                <w:sz w:val="24"/>
                <w:szCs w:val="24"/>
                <w:lang w:eastAsia="ru-RU"/>
              </w:rPr>
              <w:t>Информация по площадкам для проведения ветромониторинга приведена на рисунке 32.</w:t>
            </w:r>
          </w:p>
          <w:p w:rsidR="00C64CB9" w:rsidRPr="00D423B2" w:rsidRDefault="00C64CB9" w:rsidP="00EC1E1E">
            <w:pPr>
              <w:tabs>
                <w:tab w:val="left" w:pos="1515"/>
              </w:tabs>
              <w:jc w:val="center"/>
              <w:rPr>
                <w:rFonts w:ascii="Times New Roman" w:eastAsia="Times New Roman" w:hAnsi="Times New Roman" w:cs="Times New Roman"/>
                <w:sz w:val="24"/>
                <w:szCs w:val="24"/>
                <w:lang w:eastAsia="ru-RU"/>
              </w:rPr>
            </w:pPr>
          </w:p>
          <w:p w:rsidR="00C64CB9" w:rsidRPr="00D423B2" w:rsidRDefault="00695B5C" w:rsidP="00EC1E1E">
            <w:pPr>
              <w:tabs>
                <w:tab w:val="left" w:pos="1515"/>
              </w:tabs>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0C87FAD9">
                  <wp:extent cx="2773680" cy="1554480"/>
                  <wp:effectExtent l="0" t="0" r="762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73680" cy="1554480"/>
                          </a:xfrm>
                          <a:prstGeom prst="rect">
                            <a:avLst/>
                          </a:prstGeom>
                          <a:noFill/>
                        </pic:spPr>
                      </pic:pic>
                    </a:graphicData>
                  </a:graphic>
                </wp:inline>
              </w:drawing>
            </w:r>
          </w:p>
          <w:p w:rsidR="008C6C2E" w:rsidRPr="008C6C2E" w:rsidRDefault="008C6C2E" w:rsidP="008C6C2E">
            <w:pPr>
              <w:ind w:firstLine="709"/>
              <w:jc w:val="center"/>
              <w:rPr>
                <w:rFonts w:ascii="Times New Roman" w:eastAsia="Times New Roman" w:hAnsi="Times New Roman" w:cs="Times New Roman"/>
                <w:sz w:val="16"/>
                <w:szCs w:val="16"/>
                <w:lang w:eastAsia="ru-RU"/>
              </w:rPr>
            </w:pPr>
            <w:r w:rsidRPr="008C6C2E">
              <w:rPr>
                <w:rFonts w:ascii="Times New Roman" w:eastAsia="Times New Roman" w:hAnsi="Times New Roman" w:cs="Times New Roman"/>
                <w:sz w:val="16"/>
                <w:szCs w:val="16"/>
                <w:lang w:eastAsia="ru-RU"/>
              </w:rPr>
              <w:t xml:space="preserve">Рис. 32. Рекомендуемые площадки для строительства ВЭС </w:t>
            </w:r>
            <w:r w:rsidRPr="008C6C2E">
              <w:rPr>
                <w:rFonts w:ascii="Times New Roman" w:eastAsia="Times New Roman" w:hAnsi="Times New Roman" w:cs="Times New Roman"/>
                <w:bCs/>
                <w:sz w:val="16"/>
                <w:szCs w:val="16"/>
                <w:lang w:eastAsia="ru-RU"/>
              </w:rPr>
              <w:t>в Республике Татарстан</w:t>
            </w:r>
          </w:p>
          <w:p w:rsidR="00C64CB9" w:rsidRPr="00D423B2" w:rsidRDefault="00C64CB9" w:rsidP="00C64CB9">
            <w:pPr>
              <w:ind w:firstLine="709"/>
              <w:jc w:val="both"/>
              <w:rPr>
                <w:rFonts w:ascii="Times New Roman" w:eastAsia="Times New Roman" w:hAnsi="Times New Roman" w:cs="Times New Roman"/>
                <w:sz w:val="24"/>
                <w:szCs w:val="24"/>
                <w:lang w:eastAsia="ru-RU"/>
              </w:rPr>
            </w:pP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Важнейшей характеристикой, определяющей энергетическую ценность ветра, является его средняя годовая скорость.  По результатам ветроизмерений в течение 11 месяцев установлено, что средняя годовая скорость ветра на высоте 100 метров составляет:</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Спасский район – 7,4 м/с;</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Камско-Устьинский район – 7,7 м/с;</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Рыбно-Слободский район – 7,3 м/с.</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 xml:space="preserve">Указанные скорости ветров обеспечивают КИУМ ветроэлектростанции на уровне 30 процентов. </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Суммарный энергетический потенциал трех рассмотренных районов составляет более 600 МВт.</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Таким образом, ветроизмерения показали наличие в Татарстане «коммерческого ветра» и целесообразность строительства крупных промышленных ветропарков, реализующих электроэнергию на оптовый рынок электроэнергии и мощности.</w:t>
            </w:r>
          </w:p>
          <w:p w:rsidR="00D51545" w:rsidRPr="00D51545" w:rsidRDefault="00D51545" w:rsidP="00D51545">
            <w:pPr>
              <w:ind w:firstLine="709"/>
              <w:jc w:val="both"/>
              <w:rPr>
                <w:rFonts w:ascii="Times New Roman" w:eastAsia="Times New Roman" w:hAnsi="Times New Roman" w:cs="Times New Roman"/>
                <w:sz w:val="24"/>
                <w:szCs w:val="24"/>
                <w:lang w:eastAsia="ru-RU"/>
              </w:rPr>
            </w:pPr>
            <w:r w:rsidRPr="00D51545">
              <w:rPr>
                <w:rFonts w:ascii="Times New Roman" w:eastAsia="Times New Roman" w:hAnsi="Times New Roman" w:cs="Times New Roman"/>
                <w:sz w:val="24"/>
                <w:szCs w:val="24"/>
                <w:lang w:eastAsia="ru-RU"/>
              </w:rPr>
              <w:t>Также целесообразно дальнейшее приборное исследование других районов республики с высоким расчетным ветропотенциалом. На территории Республики Татарстан имеется техническая возможность размещения более 40 крупных ветроэнергетических станций с суммарной мощностью порядка 3 ГВт. Наибольшим ветропотенциалом по оценке обладают Альметьевский, Бугульминский, Зеленодольский, Тетюшский, Верхнеуслонский районы Республики Татарстан.</w:t>
            </w:r>
          </w:p>
          <w:p w:rsidR="00C64CB9" w:rsidRPr="00D423B2" w:rsidRDefault="00C64CB9" w:rsidP="00C64CB9">
            <w:pPr>
              <w:rPr>
                <w:rFonts w:ascii="Times New Roman" w:eastAsia="Times New Roman" w:hAnsi="Times New Roman" w:cs="Times New Roman"/>
                <w:b/>
                <w:sz w:val="24"/>
                <w:szCs w:val="24"/>
                <w:lang w:eastAsia="ru-RU"/>
              </w:rPr>
            </w:pPr>
          </w:p>
          <w:p w:rsidR="00C64CB9" w:rsidRPr="00D423B2" w:rsidRDefault="00C64CB9" w:rsidP="00C64CB9">
            <w:pPr>
              <w:ind w:firstLine="709"/>
              <w:rPr>
                <w:rFonts w:ascii="Times New Roman" w:eastAsia="Times New Roman" w:hAnsi="Times New Roman" w:cs="Times New Roman"/>
                <w:sz w:val="24"/>
                <w:szCs w:val="24"/>
              </w:rPr>
            </w:pPr>
            <w:r w:rsidRPr="00D423B2">
              <w:rPr>
                <w:rFonts w:ascii="Times New Roman" w:eastAsia="Times New Roman" w:hAnsi="Times New Roman" w:cs="Times New Roman"/>
                <w:sz w:val="24"/>
                <w:szCs w:val="24"/>
              </w:rPr>
              <w:t>4.4.2. Солнечная энергетика</w:t>
            </w:r>
          </w:p>
          <w:p w:rsidR="00BB1392" w:rsidRDefault="00BB1392" w:rsidP="006A6AFB">
            <w:pPr>
              <w:pStyle w:val="1"/>
              <w:ind w:firstLine="709"/>
              <w:jc w:val="both"/>
              <w:rPr>
                <w:rFonts w:ascii="Times New Roman" w:hAnsi="Times New Roman"/>
                <w:sz w:val="24"/>
                <w:szCs w:val="24"/>
                <w:lang w:val="ru-RU" w:eastAsia="ru-RU"/>
              </w:rPr>
            </w:pPr>
          </w:p>
          <w:p w:rsidR="005555E0" w:rsidRPr="005555E0" w:rsidRDefault="005555E0" w:rsidP="005555E0">
            <w:pPr>
              <w:pStyle w:val="1"/>
              <w:ind w:firstLine="709"/>
              <w:jc w:val="both"/>
              <w:rPr>
                <w:rFonts w:ascii="Times New Roman" w:hAnsi="Times New Roman"/>
                <w:color w:val="000000"/>
                <w:sz w:val="24"/>
                <w:szCs w:val="24"/>
                <w:lang w:val="ru-RU" w:eastAsia="ru-RU"/>
              </w:rPr>
            </w:pPr>
            <w:r w:rsidRPr="005555E0">
              <w:rPr>
                <w:rFonts w:ascii="Times New Roman" w:hAnsi="Times New Roman"/>
                <w:color w:val="000000"/>
                <w:sz w:val="24"/>
                <w:szCs w:val="24"/>
                <w:lang w:val="ru-RU" w:eastAsia="ru-RU"/>
              </w:rPr>
              <w:t>Солнечная энергетика – одно из наиболее динамично развивающихся направлений ВИЭ. По итогам 2018 года в России уже эксплуатируется более 1 ГВт объектов генерации на основе энергии солнца, а до 2024 года планируется ввод в эксплуатацию еще 1,8 ГВт мощностей по программе ДПМ ВИЭ. Кроме того, реализуются проекты, предусматривающие поставку электроэнергии на розничный рынок.</w:t>
            </w:r>
          </w:p>
          <w:p w:rsidR="005555E0" w:rsidRPr="005555E0" w:rsidRDefault="005555E0" w:rsidP="005555E0">
            <w:pPr>
              <w:pStyle w:val="1"/>
              <w:ind w:firstLine="709"/>
              <w:jc w:val="both"/>
              <w:rPr>
                <w:rFonts w:ascii="Times New Roman" w:hAnsi="Times New Roman"/>
                <w:color w:val="000000"/>
                <w:sz w:val="24"/>
                <w:szCs w:val="24"/>
                <w:lang w:val="ru-RU" w:eastAsia="ru-RU"/>
              </w:rPr>
            </w:pPr>
            <w:r w:rsidRPr="005555E0">
              <w:rPr>
                <w:rFonts w:ascii="Times New Roman" w:hAnsi="Times New Roman"/>
                <w:color w:val="000000"/>
                <w:sz w:val="24"/>
                <w:szCs w:val="24"/>
                <w:lang w:val="ru-RU" w:eastAsia="ru-RU"/>
              </w:rPr>
              <w:t>В мае 2019 года состоялся пуск Самарской солнечной электростанции мощностью 75 МВт в Новокуйбышевске Самарской области. Сегодня в Европейском союзе в среднем вводятся меньшие по мощности объекты. Расчетный коэффициент использования установленной мощности объекта превышает</w:t>
            </w:r>
            <w:r w:rsidRPr="005555E0">
              <w:rPr>
                <w:rFonts w:ascii="Times New Roman" w:hAnsi="Times New Roman"/>
                <w:color w:val="000000"/>
                <w:sz w:val="24"/>
                <w:szCs w:val="24"/>
                <w:lang w:val="ru-RU" w:eastAsia="ru-RU"/>
              </w:rPr>
              <w:br/>
              <w:t>14 процентов. Оборудование для новой солнечной электростанции (далее – СЭС) в основном произведено на территории Российской Федерации. Коэффициент его локализации составляет 70 процентов. </w:t>
            </w:r>
          </w:p>
          <w:p w:rsidR="005555E0" w:rsidRPr="005555E0" w:rsidRDefault="005555E0" w:rsidP="005555E0">
            <w:pPr>
              <w:pStyle w:val="1"/>
              <w:ind w:firstLine="709"/>
              <w:jc w:val="both"/>
              <w:rPr>
                <w:rFonts w:ascii="Times New Roman" w:hAnsi="Times New Roman"/>
                <w:color w:val="000000"/>
                <w:sz w:val="24"/>
                <w:szCs w:val="24"/>
                <w:lang w:val="ru-RU" w:eastAsia="ru-RU"/>
              </w:rPr>
            </w:pPr>
            <w:r w:rsidRPr="005555E0">
              <w:rPr>
                <w:rFonts w:ascii="Times New Roman" w:hAnsi="Times New Roman"/>
                <w:color w:val="000000"/>
                <w:sz w:val="24"/>
                <w:szCs w:val="24"/>
                <w:lang w:val="ru-RU" w:eastAsia="ru-RU"/>
              </w:rPr>
              <w:t>ГК «Хевел» планируется строительство гибридной солнечной электростанции с промышленными накопителями энергии. Объект солнечной генерации общей мощностью 10 МВт будет расположен в Бурзянском районе Республики Башкортостан.</w:t>
            </w:r>
          </w:p>
          <w:p w:rsidR="005555E0" w:rsidRDefault="005555E0" w:rsidP="005555E0">
            <w:pPr>
              <w:pStyle w:val="1"/>
              <w:ind w:firstLine="709"/>
              <w:jc w:val="both"/>
              <w:rPr>
                <w:rFonts w:ascii="Times New Roman" w:hAnsi="Times New Roman"/>
                <w:color w:val="000000"/>
                <w:sz w:val="24"/>
                <w:szCs w:val="24"/>
                <w:lang w:val="ru-RU" w:eastAsia="ru-RU"/>
              </w:rPr>
            </w:pPr>
            <w:r w:rsidRPr="005555E0">
              <w:rPr>
                <w:rFonts w:ascii="Times New Roman" w:hAnsi="Times New Roman"/>
                <w:color w:val="000000"/>
                <w:sz w:val="24"/>
                <w:szCs w:val="24"/>
                <w:lang w:val="ru-RU" w:eastAsia="ru-RU"/>
              </w:rPr>
              <w:t>В солнечной энергетике в среднем по миру КИУМ вырос и достиг величины 17,6 процента за счет расширения использования поворотных систем (трекеров) повышения качества техники и проектирования СЭС (для сравнения: в 2010 году он находился на уровне 14 процентов).</w:t>
            </w:r>
          </w:p>
          <w:p w:rsidR="003520A1" w:rsidRPr="005555E0" w:rsidRDefault="003520A1" w:rsidP="005555E0">
            <w:pPr>
              <w:pStyle w:val="1"/>
              <w:ind w:firstLine="709"/>
              <w:jc w:val="both"/>
              <w:rPr>
                <w:rFonts w:ascii="Times New Roman" w:hAnsi="Times New Roman"/>
                <w:color w:val="000000"/>
                <w:sz w:val="24"/>
                <w:szCs w:val="24"/>
                <w:lang w:val="ru-RU" w:eastAsia="ru-RU"/>
              </w:rPr>
            </w:pPr>
          </w:p>
          <w:p w:rsidR="006A6AFB" w:rsidRPr="00D423B2" w:rsidRDefault="003520A1" w:rsidP="006A6AFB">
            <w:pPr>
              <w:tabs>
                <w:tab w:val="left" w:pos="1515"/>
              </w:tabs>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7C7BB0F8">
                  <wp:extent cx="2962910" cy="835025"/>
                  <wp:effectExtent l="0" t="0" r="889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62910" cy="835025"/>
                          </a:xfrm>
                          <a:prstGeom prst="rect">
                            <a:avLst/>
                          </a:prstGeom>
                          <a:noFill/>
                        </pic:spPr>
                      </pic:pic>
                    </a:graphicData>
                  </a:graphic>
                </wp:inline>
              </w:drawing>
            </w:r>
          </w:p>
          <w:p w:rsidR="005D2451" w:rsidRPr="005A3DC8" w:rsidRDefault="005D2451" w:rsidP="005D2451">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GHI</w:t>
            </w:r>
            <w:r w:rsidRPr="005A3DC8">
              <w:rPr>
                <w:rFonts w:ascii="Times New Roman" w:eastAsia="Times New Roman" w:hAnsi="Times New Roman" w:cs="Times New Roman"/>
                <w:noProof/>
                <w:sz w:val="12"/>
                <w:szCs w:val="12"/>
                <w:lang w:eastAsia="ru-RU"/>
              </w:rPr>
              <w:t xml:space="preserve"> (глобальное горизонтальное облучение): 1 105 кВт*ч/м</w:t>
            </w:r>
            <w:r w:rsidRPr="005A3DC8">
              <w:rPr>
                <w:rFonts w:ascii="Times New Roman" w:eastAsia="Times New Roman" w:hAnsi="Times New Roman" w:cs="Times New Roman"/>
                <w:noProof/>
                <w:sz w:val="12"/>
                <w:szCs w:val="12"/>
                <w:vertAlign w:val="superscript"/>
                <w:lang w:eastAsia="ru-RU"/>
              </w:rPr>
              <w:t>2</w:t>
            </w:r>
            <w:r w:rsidRPr="005A3DC8">
              <w:rPr>
                <w:rFonts w:ascii="Times New Roman" w:eastAsia="Times New Roman" w:hAnsi="Times New Roman" w:cs="Times New Roman"/>
                <w:noProof/>
                <w:sz w:val="12"/>
                <w:szCs w:val="12"/>
                <w:lang w:eastAsia="ru-RU"/>
              </w:rPr>
              <w:t xml:space="preserve"> в год;</w:t>
            </w:r>
          </w:p>
          <w:p w:rsidR="005D2451" w:rsidRPr="005A3DC8" w:rsidRDefault="005D2451" w:rsidP="005D2451">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DNI</w:t>
            </w:r>
            <w:r w:rsidRPr="005A3DC8">
              <w:rPr>
                <w:rFonts w:ascii="Times New Roman" w:eastAsia="Times New Roman" w:hAnsi="Times New Roman" w:cs="Times New Roman"/>
                <w:noProof/>
                <w:sz w:val="12"/>
                <w:szCs w:val="12"/>
                <w:lang w:eastAsia="ru-RU"/>
              </w:rPr>
              <w:t>(прямое нормальное облучение): 1 091 кВт*ч/м</w:t>
            </w:r>
            <w:r w:rsidRPr="005A3DC8">
              <w:rPr>
                <w:rFonts w:ascii="Times New Roman" w:eastAsia="Times New Roman" w:hAnsi="Times New Roman" w:cs="Times New Roman"/>
                <w:noProof/>
                <w:sz w:val="12"/>
                <w:szCs w:val="12"/>
                <w:vertAlign w:val="superscript"/>
                <w:lang w:eastAsia="ru-RU"/>
              </w:rPr>
              <w:t>2</w:t>
            </w:r>
            <w:r w:rsidRPr="005A3DC8">
              <w:rPr>
                <w:rFonts w:ascii="Times New Roman" w:eastAsia="Times New Roman" w:hAnsi="Times New Roman" w:cs="Times New Roman"/>
                <w:noProof/>
                <w:sz w:val="12"/>
                <w:szCs w:val="12"/>
                <w:lang w:eastAsia="ru-RU"/>
              </w:rPr>
              <w:t xml:space="preserve"> в год;</w:t>
            </w:r>
          </w:p>
          <w:p w:rsidR="005D2451" w:rsidRPr="005A3DC8" w:rsidRDefault="005D2451" w:rsidP="005D2451">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DIF</w:t>
            </w:r>
            <w:r w:rsidRPr="005A3DC8">
              <w:rPr>
                <w:rFonts w:ascii="Times New Roman" w:eastAsia="Times New Roman" w:hAnsi="Times New Roman" w:cs="Times New Roman"/>
                <w:noProof/>
                <w:sz w:val="12"/>
                <w:szCs w:val="12"/>
                <w:lang w:eastAsia="ru-RU"/>
              </w:rPr>
              <w:t xml:space="preserve"> (диффузное горизонтальное облучение): 526 кВт*ч/м</w:t>
            </w:r>
            <w:r w:rsidRPr="005A3DC8">
              <w:rPr>
                <w:rFonts w:ascii="Times New Roman" w:eastAsia="Times New Roman" w:hAnsi="Times New Roman" w:cs="Times New Roman"/>
                <w:noProof/>
                <w:sz w:val="12"/>
                <w:szCs w:val="12"/>
                <w:vertAlign w:val="superscript"/>
                <w:lang w:eastAsia="ru-RU"/>
              </w:rPr>
              <w:t>2</w:t>
            </w:r>
            <w:r w:rsidRPr="005A3DC8">
              <w:rPr>
                <w:rFonts w:ascii="Times New Roman" w:eastAsia="Times New Roman" w:hAnsi="Times New Roman" w:cs="Times New Roman"/>
                <w:noProof/>
                <w:sz w:val="12"/>
                <w:szCs w:val="12"/>
                <w:lang w:eastAsia="ru-RU"/>
              </w:rPr>
              <w:t xml:space="preserve"> в год;</w:t>
            </w:r>
          </w:p>
          <w:p w:rsidR="005D2451" w:rsidRPr="005A3DC8" w:rsidRDefault="005D2451" w:rsidP="005D2451">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GTI</w:t>
            </w:r>
            <w:r w:rsidRPr="005A3DC8">
              <w:rPr>
                <w:rFonts w:ascii="Times New Roman" w:eastAsia="Times New Roman" w:hAnsi="Times New Roman" w:cs="Times New Roman"/>
                <w:noProof/>
                <w:sz w:val="12"/>
                <w:szCs w:val="12"/>
                <w:lang w:eastAsia="ru-RU"/>
              </w:rPr>
              <w:t xml:space="preserve"> (глобальное наклонное облучение): 1 306 кВт*ч/м</w:t>
            </w:r>
            <w:r w:rsidRPr="005A3DC8">
              <w:rPr>
                <w:rFonts w:ascii="Times New Roman" w:eastAsia="Times New Roman" w:hAnsi="Times New Roman" w:cs="Times New Roman"/>
                <w:noProof/>
                <w:sz w:val="12"/>
                <w:szCs w:val="12"/>
                <w:vertAlign w:val="superscript"/>
                <w:lang w:eastAsia="ru-RU"/>
              </w:rPr>
              <w:t>2</w:t>
            </w:r>
            <w:r w:rsidRPr="005A3DC8">
              <w:rPr>
                <w:rFonts w:ascii="Times New Roman" w:eastAsia="Times New Roman" w:hAnsi="Times New Roman" w:cs="Times New Roman"/>
                <w:noProof/>
                <w:sz w:val="12"/>
                <w:szCs w:val="12"/>
                <w:lang w:eastAsia="ru-RU"/>
              </w:rPr>
              <w:t xml:space="preserve"> в год;</w:t>
            </w:r>
          </w:p>
          <w:p w:rsidR="005D2451" w:rsidRPr="005A3DC8" w:rsidRDefault="005D2451" w:rsidP="005D2451">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PVOUT</w:t>
            </w:r>
            <w:r w:rsidRPr="005A3DC8">
              <w:rPr>
                <w:rFonts w:ascii="Times New Roman" w:eastAsia="Times New Roman" w:hAnsi="Times New Roman" w:cs="Times New Roman"/>
                <w:noProof/>
                <w:sz w:val="12"/>
                <w:szCs w:val="12"/>
                <w:lang w:eastAsia="ru-RU"/>
              </w:rPr>
              <w:t xml:space="preserve"> (фотоэлектрическая мощность): 1 081 кВт*ч/м</w:t>
            </w:r>
            <w:r w:rsidRPr="005A3DC8">
              <w:rPr>
                <w:rFonts w:ascii="Times New Roman" w:eastAsia="Times New Roman" w:hAnsi="Times New Roman" w:cs="Times New Roman"/>
                <w:noProof/>
                <w:sz w:val="12"/>
                <w:szCs w:val="12"/>
                <w:vertAlign w:val="superscript"/>
                <w:lang w:eastAsia="ru-RU"/>
              </w:rPr>
              <w:t>2</w:t>
            </w:r>
            <w:r w:rsidRPr="005A3DC8">
              <w:rPr>
                <w:rFonts w:ascii="Times New Roman" w:eastAsia="Times New Roman" w:hAnsi="Times New Roman" w:cs="Times New Roman"/>
                <w:noProof/>
                <w:sz w:val="12"/>
                <w:szCs w:val="12"/>
                <w:lang w:eastAsia="ru-RU"/>
              </w:rPr>
              <w:t xml:space="preserve"> в год;</w:t>
            </w:r>
          </w:p>
          <w:p w:rsidR="005D2451" w:rsidRPr="005A3DC8" w:rsidRDefault="005D2451" w:rsidP="005D2451">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OPTA</w:t>
            </w:r>
            <w:r w:rsidRPr="005A3DC8">
              <w:rPr>
                <w:rFonts w:ascii="Times New Roman" w:eastAsia="Times New Roman" w:hAnsi="Times New Roman" w:cs="Times New Roman"/>
                <w:noProof/>
                <w:sz w:val="12"/>
                <w:szCs w:val="12"/>
                <w:lang w:eastAsia="ru-RU"/>
              </w:rPr>
              <w:t xml:space="preserve"> (оптимальный угол): 37</w:t>
            </w:r>
            <w:r w:rsidRPr="005A3DC8">
              <w:rPr>
                <w:rFonts w:ascii="Times New Roman" w:eastAsia="Times New Roman" w:hAnsi="Times New Roman" w:cs="Times New Roman"/>
                <w:noProof/>
                <w:sz w:val="12"/>
                <w:szCs w:val="12"/>
                <w:vertAlign w:val="superscript"/>
                <w:lang w:eastAsia="ru-RU"/>
              </w:rPr>
              <w:t>0</w:t>
            </w:r>
            <w:r w:rsidRPr="005A3DC8">
              <w:rPr>
                <w:rFonts w:ascii="Times New Roman" w:eastAsia="Times New Roman" w:hAnsi="Times New Roman" w:cs="Times New Roman"/>
                <w:noProof/>
                <w:sz w:val="12"/>
                <w:szCs w:val="12"/>
                <w:lang w:eastAsia="ru-RU"/>
              </w:rPr>
              <w:t xml:space="preserve"> / 180</w:t>
            </w:r>
            <w:r w:rsidRPr="005A3DC8">
              <w:rPr>
                <w:rFonts w:ascii="Times New Roman" w:eastAsia="Times New Roman" w:hAnsi="Times New Roman" w:cs="Times New Roman"/>
                <w:noProof/>
                <w:sz w:val="12"/>
                <w:szCs w:val="12"/>
                <w:vertAlign w:val="superscript"/>
                <w:lang w:eastAsia="ru-RU"/>
              </w:rPr>
              <w:t>0</w:t>
            </w:r>
            <w:r w:rsidRPr="005A3DC8">
              <w:rPr>
                <w:rFonts w:ascii="Times New Roman" w:eastAsia="Times New Roman" w:hAnsi="Times New Roman" w:cs="Times New Roman"/>
                <w:noProof/>
                <w:sz w:val="12"/>
                <w:szCs w:val="12"/>
                <w:lang w:eastAsia="ru-RU"/>
              </w:rPr>
              <w:t>;</w:t>
            </w:r>
          </w:p>
          <w:p w:rsidR="005D2451" w:rsidRPr="005A3DC8" w:rsidRDefault="005D2451" w:rsidP="005D2451">
            <w:pPr>
              <w:ind w:left="993"/>
              <w:rPr>
                <w:rFonts w:ascii="Times New Roman" w:eastAsia="Times New Roman" w:hAnsi="Times New Roman" w:cs="Times New Roman"/>
                <w:noProof/>
                <w:sz w:val="12"/>
                <w:szCs w:val="12"/>
                <w:lang w:eastAsia="ru-RU"/>
              </w:rPr>
            </w:pPr>
            <w:r w:rsidRPr="005A3DC8">
              <w:rPr>
                <w:rFonts w:ascii="Times New Roman" w:eastAsia="Times New Roman" w:hAnsi="Times New Roman" w:cs="Times New Roman"/>
                <w:noProof/>
                <w:sz w:val="12"/>
                <w:szCs w:val="12"/>
                <w:lang w:val="en-US" w:eastAsia="ru-RU"/>
              </w:rPr>
              <w:t>TEMP</w:t>
            </w:r>
            <w:r w:rsidRPr="005A3DC8">
              <w:rPr>
                <w:rFonts w:ascii="Times New Roman" w:eastAsia="Times New Roman" w:hAnsi="Times New Roman" w:cs="Times New Roman"/>
                <w:noProof/>
                <w:sz w:val="12"/>
                <w:szCs w:val="12"/>
                <w:lang w:eastAsia="ru-RU"/>
              </w:rPr>
              <w:t xml:space="preserve"> (температура воздуха на высоте 2 м над землей): 180</w:t>
            </w:r>
            <w:r w:rsidRPr="005A3DC8">
              <w:rPr>
                <w:rFonts w:ascii="Times New Roman" w:eastAsia="Times New Roman" w:hAnsi="Times New Roman" w:cs="Times New Roman"/>
                <w:noProof/>
                <w:sz w:val="12"/>
                <w:szCs w:val="12"/>
                <w:vertAlign w:val="superscript"/>
                <w:lang w:eastAsia="ru-RU"/>
              </w:rPr>
              <w:t>0</w:t>
            </w:r>
            <w:r w:rsidRPr="005A3DC8">
              <w:rPr>
                <w:rFonts w:ascii="Times New Roman" w:eastAsia="Times New Roman" w:hAnsi="Times New Roman" w:cs="Times New Roman"/>
                <w:noProof/>
                <w:sz w:val="12"/>
                <w:szCs w:val="12"/>
                <w:lang w:eastAsia="ru-RU"/>
              </w:rPr>
              <w:t xml:space="preserve"> С;</w:t>
            </w:r>
          </w:p>
          <w:p w:rsidR="005D2451" w:rsidRPr="005A3DC8" w:rsidRDefault="005D2451" w:rsidP="005D2451">
            <w:pPr>
              <w:autoSpaceDE w:val="0"/>
              <w:autoSpaceDN w:val="0"/>
              <w:adjustRightInd w:val="0"/>
              <w:outlineLvl w:val="2"/>
              <w:rPr>
                <w:rFonts w:ascii="Times New Roman" w:eastAsia="Times New Roman" w:hAnsi="Times New Roman" w:cs="Times New Roman"/>
                <w:sz w:val="12"/>
                <w:szCs w:val="12"/>
                <w:lang w:eastAsia="ru-RU"/>
              </w:rPr>
            </w:pPr>
            <w:r w:rsidRPr="005D2451">
              <w:rPr>
                <w:rFonts w:ascii="Times New Roman" w:eastAsia="Times New Roman" w:hAnsi="Times New Roman" w:cs="Times New Roman"/>
                <w:noProof/>
                <w:sz w:val="12"/>
                <w:szCs w:val="12"/>
                <w:lang w:eastAsia="ru-RU"/>
              </w:rPr>
              <w:t xml:space="preserve">                                 </w:t>
            </w:r>
            <w:r w:rsidRPr="005A3DC8">
              <w:rPr>
                <w:rFonts w:ascii="Times New Roman" w:eastAsia="Times New Roman" w:hAnsi="Times New Roman" w:cs="Times New Roman"/>
                <w:noProof/>
                <w:sz w:val="12"/>
                <w:szCs w:val="12"/>
                <w:lang w:val="en-US" w:eastAsia="ru-RU"/>
              </w:rPr>
              <w:t>ELE</w:t>
            </w:r>
            <w:r w:rsidRPr="005E6D25">
              <w:rPr>
                <w:rFonts w:ascii="Times New Roman" w:eastAsia="Times New Roman" w:hAnsi="Times New Roman" w:cs="Times New Roman"/>
                <w:noProof/>
                <w:sz w:val="12"/>
                <w:szCs w:val="12"/>
                <w:lang w:eastAsia="ru-RU"/>
              </w:rPr>
              <w:t xml:space="preserve"> </w:t>
            </w:r>
            <w:r w:rsidRPr="005A3DC8">
              <w:rPr>
                <w:rFonts w:ascii="Times New Roman" w:eastAsia="Times New Roman" w:hAnsi="Times New Roman" w:cs="Times New Roman"/>
                <w:noProof/>
                <w:sz w:val="12"/>
                <w:szCs w:val="12"/>
                <w:lang w:eastAsia="ru-RU"/>
              </w:rPr>
              <w:t>(высота): 123 м</w:t>
            </w:r>
          </w:p>
          <w:p w:rsidR="005E6D25" w:rsidRDefault="005E6D25" w:rsidP="005E6D25">
            <w:pPr>
              <w:pStyle w:val="1"/>
              <w:jc w:val="center"/>
              <w:rPr>
                <w:rFonts w:ascii="Times New Roman" w:hAnsi="Times New Roman"/>
                <w:sz w:val="16"/>
                <w:szCs w:val="16"/>
                <w:lang w:val="ru-RU" w:eastAsia="ru-RU"/>
              </w:rPr>
            </w:pPr>
          </w:p>
          <w:p w:rsidR="005E6D25" w:rsidRPr="005E6D25" w:rsidRDefault="005E6D25" w:rsidP="005E6D25">
            <w:pPr>
              <w:pStyle w:val="1"/>
              <w:jc w:val="center"/>
              <w:rPr>
                <w:rFonts w:ascii="Times New Roman" w:hAnsi="Times New Roman"/>
                <w:sz w:val="16"/>
                <w:szCs w:val="16"/>
                <w:lang w:val="ru-RU" w:eastAsia="ru-RU"/>
              </w:rPr>
            </w:pPr>
            <w:r w:rsidRPr="005E6D25">
              <w:rPr>
                <w:rFonts w:ascii="Times New Roman" w:hAnsi="Times New Roman"/>
                <w:sz w:val="16"/>
                <w:szCs w:val="16"/>
                <w:lang w:val="ru-RU" w:eastAsia="ru-RU"/>
              </w:rPr>
              <w:t>Рис. 33. Солнечная инсоляция в Республике Татарстан</w:t>
            </w:r>
          </w:p>
          <w:p w:rsidR="005D2451" w:rsidRDefault="005D2451" w:rsidP="00DF26F8">
            <w:pPr>
              <w:pStyle w:val="1"/>
              <w:ind w:firstLine="709"/>
              <w:jc w:val="both"/>
              <w:rPr>
                <w:rFonts w:ascii="Times New Roman" w:hAnsi="Times New Roman"/>
                <w:sz w:val="24"/>
                <w:szCs w:val="24"/>
                <w:lang w:val="ru-RU" w:eastAsia="ru-RU"/>
              </w:rPr>
            </w:pPr>
          </w:p>
          <w:p w:rsidR="004A4EFC" w:rsidRPr="004A4EFC" w:rsidRDefault="004A4EFC" w:rsidP="004A4EFC">
            <w:pPr>
              <w:pStyle w:val="1"/>
              <w:ind w:firstLine="709"/>
              <w:jc w:val="both"/>
              <w:rPr>
                <w:rFonts w:ascii="Times New Roman" w:hAnsi="Times New Roman"/>
                <w:color w:val="000000"/>
                <w:sz w:val="24"/>
                <w:szCs w:val="24"/>
                <w:lang w:val="ru-RU" w:eastAsia="ru-RU"/>
              </w:rPr>
            </w:pPr>
            <w:r w:rsidRPr="004A4EFC">
              <w:rPr>
                <w:rFonts w:ascii="Times New Roman" w:hAnsi="Times New Roman"/>
                <w:color w:val="000000"/>
                <w:sz w:val="24"/>
                <w:szCs w:val="24"/>
                <w:lang w:val="ru-RU" w:eastAsia="ru-RU"/>
              </w:rPr>
              <w:t>На рисунке 33 показана карта солнечной инсоляции в Республике Татарстан. Как видно из карты, Татарстан обладает достаточным уровнем солнечной инсоляции (глобальное горизонтальное облучение составляет 1 105 кВт*ч/м</w:t>
            </w:r>
            <w:r w:rsidRPr="004A4EFC">
              <w:rPr>
                <w:rFonts w:ascii="Times New Roman" w:hAnsi="Times New Roman"/>
                <w:color w:val="000000"/>
                <w:sz w:val="24"/>
                <w:szCs w:val="24"/>
                <w:vertAlign w:val="superscript"/>
                <w:lang w:val="ru-RU" w:eastAsia="ru-RU"/>
              </w:rPr>
              <w:t>2</w:t>
            </w:r>
            <w:r w:rsidRPr="004A4EFC">
              <w:rPr>
                <w:rFonts w:ascii="Times New Roman" w:hAnsi="Times New Roman"/>
                <w:color w:val="000000"/>
                <w:sz w:val="24"/>
                <w:szCs w:val="24"/>
                <w:lang w:val="ru-RU" w:eastAsia="ru-RU"/>
              </w:rPr>
              <w:t>) для строительства солнечных электростанций с КИУМ на уровне 15 процентов.</w:t>
            </w:r>
          </w:p>
          <w:p w:rsidR="00610F55" w:rsidRDefault="00610F55" w:rsidP="00DF26F8">
            <w:pPr>
              <w:pStyle w:val="1"/>
              <w:ind w:firstLine="709"/>
              <w:jc w:val="both"/>
              <w:rPr>
                <w:rFonts w:ascii="Times New Roman" w:hAnsi="Times New Roman"/>
                <w:sz w:val="24"/>
                <w:szCs w:val="24"/>
                <w:lang w:val="ru-RU" w:eastAsia="ru-RU"/>
              </w:rPr>
            </w:pPr>
          </w:p>
          <w:p w:rsidR="00406618" w:rsidRPr="00D423B2" w:rsidRDefault="00406618" w:rsidP="00406618">
            <w:pPr>
              <w:pStyle w:val="1"/>
              <w:jc w:val="both"/>
              <w:rPr>
                <w:rFonts w:ascii="Times New Roman" w:hAnsi="Times New Roman"/>
                <w:sz w:val="24"/>
                <w:szCs w:val="24"/>
                <w:lang w:val="ru-RU" w:eastAsia="ru-RU"/>
              </w:rPr>
            </w:pPr>
          </w:p>
          <w:p w:rsidR="00610F55" w:rsidRPr="00D423B2" w:rsidRDefault="0003453B" w:rsidP="00DF26F8">
            <w:pPr>
              <w:pStyle w:val="1"/>
              <w:ind w:firstLine="709"/>
              <w:jc w:val="both"/>
              <w:rPr>
                <w:rFonts w:ascii="Times New Roman" w:hAnsi="Times New Roman"/>
                <w:sz w:val="24"/>
                <w:szCs w:val="24"/>
                <w:lang w:val="ru-RU" w:eastAsia="ru-RU"/>
              </w:rPr>
            </w:pPr>
            <w:r>
              <w:rPr>
                <w:rFonts w:ascii="Times New Roman" w:hAnsi="Times New Roman"/>
                <w:noProof/>
                <w:sz w:val="24"/>
                <w:szCs w:val="24"/>
                <w:lang w:val="ru-RU" w:eastAsia="ru-RU"/>
              </w:rPr>
              <w:drawing>
                <wp:inline distT="0" distB="0" distL="0" distR="0" wp14:anchorId="34F83063">
                  <wp:extent cx="2600325" cy="107555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611021" cy="1079980"/>
                          </a:xfrm>
                          <a:prstGeom prst="rect">
                            <a:avLst/>
                          </a:prstGeom>
                          <a:noFill/>
                        </pic:spPr>
                      </pic:pic>
                    </a:graphicData>
                  </a:graphic>
                </wp:inline>
              </w:drawing>
            </w:r>
          </w:p>
          <w:p w:rsidR="0003453B" w:rsidRDefault="0003453B" w:rsidP="006B6E46">
            <w:pPr>
              <w:pStyle w:val="1"/>
              <w:ind w:firstLine="709"/>
              <w:jc w:val="center"/>
              <w:rPr>
                <w:rFonts w:ascii="Times New Roman" w:hAnsi="Times New Roman"/>
                <w:sz w:val="16"/>
                <w:szCs w:val="16"/>
                <w:lang w:val="ru-RU" w:eastAsia="ru-RU"/>
              </w:rPr>
            </w:pPr>
          </w:p>
          <w:p w:rsidR="00406618" w:rsidRDefault="00406618" w:rsidP="00406618">
            <w:pPr>
              <w:pStyle w:val="1"/>
              <w:jc w:val="center"/>
              <w:rPr>
                <w:rFonts w:ascii="Times New Roman" w:hAnsi="Times New Roman"/>
                <w:sz w:val="16"/>
                <w:szCs w:val="16"/>
                <w:lang w:val="ru-RU" w:eastAsia="ru-RU"/>
              </w:rPr>
            </w:pPr>
          </w:p>
          <w:p w:rsidR="00EB6091" w:rsidRPr="00364A79" w:rsidRDefault="00EB6091" w:rsidP="00406618">
            <w:pPr>
              <w:pStyle w:val="1"/>
              <w:jc w:val="center"/>
              <w:rPr>
                <w:rFonts w:ascii="Times New Roman" w:hAnsi="Times New Roman"/>
                <w:sz w:val="16"/>
                <w:szCs w:val="16"/>
                <w:lang w:val="ru-RU" w:eastAsia="ru-RU"/>
              </w:rPr>
            </w:pPr>
            <w:r w:rsidRPr="00364A79">
              <w:rPr>
                <w:rFonts w:ascii="Times New Roman" w:hAnsi="Times New Roman"/>
                <w:sz w:val="16"/>
                <w:szCs w:val="16"/>
                <w:lang w:val="ru-RU" w:eastAsia="ru-RU"/>
              </w:rPr>
              <w:t>Рис. 34. Распределение количества солнечных дней и дней с осадками</w:t>
            </w:r>
          </w:p>
          <w:p w:rsidR="006B6E46" w:rsidRPr="00D423B2" w:rsidRDefault="006B6E46" w:rsidP="006B6E46">
            <w:pPr>
              <w:pStyle w:val="1"/>
              <w:ind w:firstLine="709"/>
              <w:jc w:val="both"/>
              <w:rPr>
                <w:rFonts w:ascii="Times New Roman" w:hAnsi="Times New Roman"/>
                <w:sz w:val="16"/>
                <w:szCs w:val="16"/>
                <w:lang w:val="ru-RU" w:eastAsia="ru-RU"/>
              </w:rPr>
            </w:pPr>
          </w:p>
          <w:p w:rsidR="00364A79" w:rsidRPr="00364A79" w:rsidRDefault="00364A79" w:rsidP="00364A79">
            <w:pPr>
              <w:pStyle w:val="1"/>
              <w:ind w:firstLine="709"/>
              <w:jc w:val="both"/>
              <w:rPr>
                <w:rFonts w:ascii="Times New Roman" w:hAnsi="Times New Roman"/>
                <w:color w:val="000000"/>
                <w:sz w:val="24"/>
                <w:szCs w:val="24"/>
                <w:lang w:val="ru-RU" w:eastAsia="ru-RU"/>
              </w:rPr>
            </w:pPr>
            <w:r w:rsidRPr="00364A79">
              <w:rPr>
                <w:rFonts w:ascii="Times New Roman" w:hAnsi="Times New Roman"/>
                <w:color w:val="000000"/>
                <w:sz w:val="24"/>
                <w:szCs w:val="24"/>
                <w:lang w:val="ru-RU" w:eastAsia="ru-RU"/>
              </w:rPr>
              <w:t>Среднегодовое количество часов солнечного сияния в Татарстане находится в диапазоне 2,8 – 3,3 кВт*ч/м</w:t>
            </w:r>
            <w:r w:rsidRPr="00364A79">
              <w:rPr>
                <w:rFonts w:ascii="Times New Roman" w:hAnsi="Times New Roman"/>
                <w:color w:val="000000"/>
                <w:sz w:val="24"/>
                <w:szCs w:val="24"/>
                <w:vertAlign w:val="superscript"/>
                <w:lang w:val="ru-RU" w:eastAsia="ru-RU"/>
              </w:rPr>
              <w:t>2</w:t>
            </w:r>
            <w:r w:rsidRPr="00364A79">
              <w:rPr>
                <w:rFonts w:ascii="Times New Roman" w:hAnsi="Times New Roman"/>
                <w:color w:val="000000"/>
                <w:sz w:val="24"/>
                <w:szCs w:val="24"/>
                <w:lang w:val="ru-RU" w:eastAsia="ru-RU"/>
              </w:rPr>
              <w:t>.</w:t>
            </w:r>
          </w:p>
          <w:p w:rsidR="00A21B2D" w:rsidRDefault="00A21B2D" w:rsidP="006B6E46">
            <w:pPr>
              <w:pStyle w:val="1"/>
              <w:ind w:firstLine="709"/>
              <w:jc w:val="right"/>
              <w:rPr>
                <w:rFonts w:ascii="Times New Roman" w:hAnsi="Times New Roman"/>
                <w:sz w:val="24"/>
                <w:szCs w:val="24"/>
                <w:lang w:val="ru-RU"/>
              </w:rPr>
            </w:pPr>
          </w:p>
          <w:p w:rsidR="006B6E46" w:rsidRPr="00D423B2" w:rsidRDefault="00E665E3" w:rsidP="006B6E46">
            <w:pPr>
              <w:pStyle w:val="1"/>
              <w:ind w:firstLine="709"/>
              <w:jc w:val="right"/>
              <w:rPr>
                <w:rFonts w:ascii="Times New Roman" w:hAnsi="Times New Roman"/>
                <w:sz w:val="24"/>
                <w:szCs w:val="24"/>
                <w:lang w:val="ru-RU"/>
              </w:rPr>
            </w:pPr>
            <w:r>
              <w:rPr>
                <w:rFonts w:ascii="Times New Roman" w:hAnsi="Times New Roman"/>
                <w:sz w:val="24"/>
                <w:szCs w:val="24"/>
                <w:lang w:val="ru-RU"/>
              </w:rPr>
              <w:t xml:space="preserve">Таблица </w:t>
            </w:r>
            <w:r w:rsidR="006B6E46" w:rsidRPr="00D423B2">
              <w:rPr>
                <w:rFonts w:ascii="Times New Roman" w:hAnsi="Times New Roman"/>
                <w:sz w:val="24"/>
                <w:szCs w:val="24"/>
                <w:lang w:val="ru-RU"/>
              </w:rPr>
              <w:t>17</w:t>
            </w:r>
          </w:p>
          <w:p w:rsidR="006B6E46" w:rsidRPr="00D423B2" w:rsidRDefault="006B6E46" w:rsidP="006B6E46">
            <w:pPr>
              <w:pStyle w:val="1"/>
              <w:ind w:firstLine="709"/>
              <w:jc w:val="center"/>
              <w:rPr>
                <w:rFonts w:ascii="Times New Roman" w:hAnsi="Times New Roman"/>
                <w:sz w:val="24"/>
                <w:szCs w:val="24"/>
                <w:lang w:val="ru-RU" w:eastAsia="ru-RU"/>
              </w:rPr>
            </w:pPr>
          </w:p>
          <w:p w:rsidR="005C36DD" w:rsidRPr="005C36DD" w:rsidRDefault="005C36DD" w:rsidP="005C36DD">
            <w:pPr>
              <w:pStyle w:val="1"/>
              <w:jc w:val="center"/>
              <w:rPr>
                <w:rFonts w:ascii="Times New Roman" w:hAnsi="Times New Roman"/>
                <w:sz w:val="24"/>
                <w:szCs w:val="24"/>
                <w:lang w:val="ru-RU" w:eastAsia="ru-RU"/>
              </w:rPr>
            </w:pPr>
            <w:r w:rsidRPr="005C36DD">
              <w:rPr>
                <w:rFonts w:ascii="Times New Roman" w:hAnsi="Times New Roman"/>
                <w:sz w:val="24"/>
                <w:szCs w:val="24"/>
                <w:lang w:val="ru-RU" w:eastAsia="ru-RU"/>
              </w:rPr>
              <w:t>Среднее количество часов в сутки солнечного сияния, кВт*ч/м</w:t>
            </w:r>
            <w:r w:rsidRPr="005C36DD">
              <w:rPr>
                <w:rFonts w:ascii="Times New Roman" w:hAnsi="Times New Roman"/>
                <w:sz w:val="24"/>
                <w:szCs w:val="24"/>
                <w:vertAlign w:val="superscript"/>
                <w:lang w:val="ru-RU" w:eastAsia="ru-RU"/>
              </w:rPr>
              <w:t>2</w:t>
            </w:r>
          </w:p>
          <w:p w:rsidR="00EF238A" w:rsidRDefault="00EF238A" w:rsidP="006B6E46">
            <w:pPr>
              <w:pStyle w:val="1"/>
              <w:ind w:firstLine="709"/>
              <w:jc w:val="center"/>
              <w:rPr>
                <w:rFonts w:ascii="Times New Roman" w:hAnsi="Times New Roman"/>
                <w:sz w:val="24"/>
                <w:szCs w:val="24"/>
                <w:lang w:val="ru-RU"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544"/>
              <w:gridCol w:w="431"/>
              <w:gridCol w:w="421"/>
              <w:gridCol w:w="274"/>
              <w:gridCol w:w="362"/>
              <w:gridCol w:w="228"/>
              <w:gridCol w:w="289"/>
              <w:gridCol w:w="288"/>
              <w:gridCol w:w="339"/>
              <w:gridCol w:w="457"/>
              <w:gridCol w:w="420"/>
              <w:gridCol w:w="363"/>
              <w:gridCol w:w="402"/>
              <w:gridCol w:w="201"/>
            </w:tblGrid>
            <w:tr w:rsidR="00A21B2D" w:rsidRPr="00A21B2D" w:rsidTr="0086028E">
              <w:trPr>
                <w:cantSplit/>
                <w:trHeight w:val="70"/>
              </w:trPr>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Город</w:t>
                  </w:r>
                </w:p>
              </w:tc>
              <w:tc>
                <w:tcPr>
                  <w:tcW w:w="429"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Январь</w:t>
                  </w:r>
                </w:p>
              </w:tc>
              <w:tc>
                <w:tcPr>
                  <w:tcW w:w="419"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Февраль</w:t>
                  </w:r>
                </w:p>
              </w:tc>
              <w:tc>
                <w:tcPr>
                  <w:tcW w:w="273"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Март</w:t>
                  </w:r>
                </w:p>
              </w:tc>
              <w:tc>
                <w:tcPr>
                  <w:tcW w:w="361"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Апрель</w:t>
                  </w:r>
                </w:p>
              </w:tc>
              <w:tc>
                <w:tcPr>
                  <w:tcW w:w="227"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Май</w:t>
                  </w:r>
                </w:p>
              </w:tc>
              <w:tc>
                <w:tcPr>
                  <w:tcW w:w="288"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Июнь</w:t>
                  </w:r>
                </w:p>
              </w:tc>
              <w:tc>
                <w:tcPr>
                  <w:tcW w:w="287"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Июль</w:t>
                  </w:r>
                </w:p>
              </w:tc>
              <w:tc>
                <w:tcPr>
                  <w:tcW w:w="338"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Август</w:t>
                  </w:r>
                </w:p>
              </w:tc>
              <w:tc>
                <w:tcPr>
                  <w:tcW w:w="455"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Сентябрь</w:t>
                  </w:r>
                </w:p>
              </w:tc>
              <w:tc>
                <w:tcPr>
                  <w:tcW w:w="418"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Октябрь</w:t>
                  </w:r>
                </w:p>
              </w:tc>
              <w:tc>
                <w:tcPr>
                  <w:tcW w:w="36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Ноябрь</w:t>
                  </w:r>
                </w:p>
              </w:tc>
              <w:tc>
                <w:tcPr>
                  <w:tcW w:w="400"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Декабрь</w:t>
                  </w:r>
                </w:p>
              </w:tc>
              <w:tc>
                <w:tcPr>
                  <w:tcW w:w="200"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jc w:val="center"/>
                    <w:rPr>
                      <w:rFonts w:ascii="Times New Roman" w:hAnsi="Times New Roman"/>
                      <w:b/>
                      <w:sz w:val="12"/>
                      <w:szCs w:val="12"/>
                      <w:lang w:val="ru-RU"/>
                    </w:rPr>
                  </w:pPr>
                  <w:r w:rsidRPr="00A21B2D">
                    <w:rPr>
                      <w:rFonts w:ascii="Times New Roman" w:hAnsi="Times New Roman"/>
                      <w:b/>
                      <w:sz w:val="12"/>
                      <w:szCs w:val="12"/>
                      <w:lang w:val="ru-RU"/>
                    </w:rPr>
                    <w:t>Год</w:t>
                  </w:r>
                </w:p>
              </w:tc>
            </w:tr>
            <w:tr w:rsidR="00A21B2D" w:rsidRPr="00A21B2D" w:rsidTr="0086028E">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rPr>
                      <w:rFonts w:ascii="Times New Roman" w:hAnsi="Times New Roman"/>
                      <w:sz w:val="12"/>
                      <w:szCs w:val="12"/>
                      <w:lang w:val="ru-RU"/>
                    </w:rPr>
                  </w:pPr>
                  <w:r w:rsidRPr="00A21B2D">
                    <w:rPr>
                      <w:rFonts w:ascii="Times New Roman" w:hAnsi="Times New Roman"/>
                      <w:sz w:val="12"/>
                      <w:szCs w:val="12"/>
                      <w:lang w:val="ru-RU"/>
                    </w:rPr>
                    <w:t>Санкт-Петербург</w:t>
                  </w:r>
                </w:p>
              </w:tc>
              <w:tc>
                <w:tcPr>
                  <w:tcW w:w="42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0,35</w:t>
                  </w:r>
                </w:p>
              </w:tc>
              <w:tc>
                <w:tcPr>
                  <w:tcW w:w="41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1,08</w:t>
                  </w:r>
                </w:p>
              </w:tc>
              <w:tc>
                <w:tcPr>
                  <w:tcW w:w="273"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2,36</w:t>
                  </w:r>
                </w:p>
              </w:tc>
              <w:tc>
                <w:tcPr>
                  <w:tcW w:w="361"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3,98</w:t>
                  </w:r>
                </w:p>
              </w:tc>
              <w:tc>
                <w:tcPr>
                  <w:tcW w:w="22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5,46</w:t>
                  </w:r>
                </w:p>
              </w:tc>
              <w:tc>
                <w:tcPr>
                  <w:tcW w:w="28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5,78</w:t>
                  </w:r>
                </w:p>
              </w:tc>
              <w:tc>
                <w:tcPr>
                  <w:tcW w:w="28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5,61</w:t>
                  </w:r>
                </w:p>
              </w:tc>
              <w:tc>
                <w:tcPr>
                  <w:tcW w:w="33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4,31</w:t>
                  </w:r>
                </w:p>
              </w:tc>
              <w:tc>
                <w:tcPr>
                  <w:tcW w:w="455"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2,60</w:t>
                  </w:r>
                </w:p>
              </w:tc>
              <w:tc>
                <w:tcPr>
                  <w:tcW w:w="41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1,23</w:t>
                  </w:r>
                </w:p>
              </w:tc>
              <w:tc>
                <w:tcPr>
                  <w:tcW w:w="362"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0,50</w:t>
                  </w:r>
                </w:p>
              </w:tc>
              <w:tc>
                <w:tcPr>
                  <w:tcW w:w="4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0,20</w:t>
                  </w:r>
                </w:p>
              </w:tc>
              <w:tc>
                <w:tcPr>
                  <w:tcW w:w="2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2,80</w:t>
                  </w:r>
                </w:p>
              </w:tc>
            </w:tr>
            <w:tr w:rsidR="00A21B2D" w:rsidRPr="00A21B2D" w:rsidTr="0086028E">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rPr>
                      <w:rFonts w:ascii="Times New Roman" w:hAnsi="Times New Roman"/>
                      <w:sz w:val="12"/>
                      <w:szCs w:val="12"/>
                      <w:lang w:val="ru-RU"/>
                    </w:rPr>
                  </w:pPr>
                  <w:r w:rsidRPr="00A21B2D">
                    <w:rPr>
                      <w:rFonts w:ascii="Times New Roman" w:hAnsi="Times New Roman"/>
                      <w:sz w:val="12"/>
                      <w:szCs w:val="12"/>
                      <w:lang w:val="ru-RU"/>
                    </w:rPr>
                    <w:t>Москва</w:t>
                  </w:r>
                </w:p>
              </w:tc>
              <w:tc>
                <w:tcPr>
                  <w:tcW w:w="42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0,50</w:t>
                  </w:r>
                </w:p>
              </w:tc>
              <w:tc>
                <w:tcPr>
                  <w:tcW w:w="41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0,94</w:t>
                  </w:r>
                </w:p>
              </w:tc>
              <w:tc>
                <w:tcPr>
                  <w:tcW w:w="273"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2,63</w:t>
                  </w:r>
                </w:p>
              </w:tc>
              <w:tc>
                <w:tcPr>
                  <w:tcW w:w="361"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3,07</w:t>
                  </w:r>
                </w:p>
              </w:tc>
              <w:tc>
                <w:tcPr>
                  <w:tcW w:w="22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4,69</w:t>
                  </w:r>
                </w:p>
              </w:tc>
              <w:tc>
                <w:tcPr>
                  <w:tcW w:w="28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5,44</w:t>
                  </w:r>
                </w:p>
              </w:tc>
              <w:tc>
                <w:tcPr>
                  <w:tcW w:w="28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5,51</w:t>
                  </w:r>
                </w:p>
              </w:tc>
              <w:tc>
                <w:tcPr>
                  <w:tcW w:w="33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4,26</w:t>
                  </w:r>
                </w:p>
              </w:tc>
              <w:tc>
                <w:tcPr>
                  <w:tcW w:w="455"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2,34</w:t>
                  </w:r>
                </w:p>
              </w:tc>
              <w:tc>
                <w:tcPr>
                  <w:tcW w:w="41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1,08</w:t>
                  </w:r>
                </w:p>
              </w:tc>
              <w:tc>
                <w:tcPr>
                  <w:tcW w:w="362"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0,56</w:t>
                  </w:r>
                </w:p>
              </w:tc>
              <w:tc>
                <w:tcPr>
                  <w:tcW w:w="4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0,36</w:t>
                  </w:r>
                </w:p>
              </w:tc>
              <w:tc>
                <w:tcPr>
                  <w:tcW w:w="2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2,63</w:t>
                  </w:r>
                </w:p>
              </w:tc>
            </w:tr>
            <w:tr w:rsidR="00A21B2D" w:rsidRPr="00A21B2D" w:rsidTr="0086028E">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rPr>
                      <w:rFonts w:ascii="Times New Roman" w:hAnsi="Times New Roman"/>
                      <w:sz w:val="12"/>
                      <w:szCs w:val="12"/>
                      <w:lang w:val="ru-RU"/>
                    </w:rPr>
                  </w:pPr>
                  <w:r w:rsidRPr="00A21B2D">
                    <w:rPr>
                      <w:rFonts w:ascii="Times New Roman" w:hAnsi="Times New Roman"/>
                      <w:sz w:val="12"/>
                      <w:szCs w:val="12"/>
                      <w:lang w:val="ru-RU"/>
                    </w:rPr>
                    <w:t>Казань</w:t>
                  </w:r>
                </w:p>
              </w:tc>
              <w:tc>
                <w:tcPr>
                  <w:tcW w:w="42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0,68</w:t>
                  </w:r>
                </w:p>
              </w:tc>
              <w:tc>
                <w:tcPr>
                  <w:tcW w:w="41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1,44</w:t>
                  </w:r>
                </w:p>
              </w:tc>
              <w:tc>
                <w:tcPr>
                  <w:tcW w:w="273"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2,82</w:t>
                  </w:r>
                </w:p>
              </w:tc>
              <w:tc>
                <w:tcPr>
                  <w:tcW w:w="361"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4,29</w:t>
                  </w:r>
                </w:p>
              </w:tc>
              <w:tc>
                <w:tcPr>
                  <w:tcW w:w="22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5,52</w:t>
                  </w:r>
                </w:p>
              </w:tc>
              <w:tc>
                <w:tcPr>
                  <w:tcW w:w="28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5,93</w:t>
                  </w:r>
                </w:p>
              </w:tc>
              <w:tc>
                <w:tcPr>
                  <w:tcW w:w="28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5,72</w:t>
                  </w:r>
                </w:p>
              </w:tc>
              <w:tc>
                <w:tcPr>
                  <w:tcW w:w="33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4,49</w:t>
                  </w:r>
                </w:p>
              </w:tc>
              <w:tc>
                <w:tcPr>
                  <w:tcW w:w="455"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2,86</w:t>
                  </w:r>
                </w:p>
              </w:tc>
              <w:tc>
                <w:tcPr>
                  <w:tcW w:w="41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1,51</w:t>
                  </w:r>
                </w:p>
              </w:tc>
              <w:tc>
                <w:tcPr>
                  <w:tcW w:w="362"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0,83</w:t>
                  </w:r>
                </w:p>
              </w:tc>
              <w:tc>
                <w:tcPr>
                  <w:tcW w:w="4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0,54</w:t>
                  </w:r>
                </w:p>
              </w:tc>
              <w:tc>
                <w:tcPr>
                  <w:tcW w:w="2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3,06</w:t>
                  </w:r>
                </w:p>
              </w:tc>
            </w:tr>
            <w:tr w:rsidR="00A21B2D" w:rsidRPr="00A21B2D" w:rsidTr="0086028E">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rPr>
                      <w:rFonts w:ascii="Times New Roman" w:hAnsi="Times New Roman"/>
                      <w:sz w:val="12"/>
                      <w:szCs w:val="12"/>
                      <w:lang w:val="ru-RU"/>
                    </w:rPr>
                  </w:pPr>
                  <w:r w:rsidRPr="00A21B2D">
                    <w:rPr>
                      <w:rFonts w:ascii="Times New Roman" w:hAnsi="Times New Roman"/>
                      <w:sz w:val="12"/>
                      <w:szCs w:val="12"/>
                      <w:lang w:val="ru-RU"/>
                    </w:rPr>
                    <w:t>Нижний Новгород</w:t>
                  </w:r>
                </w:p>
              </w:tc>
              <w:tc>
                <w:tcPr>
                  <w:tcW w:w="42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0,64</w:t>
                  </w:r>
                </w:p>
              </w:tc>
              <w:tc>
                <w:tcPr>
                  <w:tcW w:w="41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1,45</w:t>
                  </w:r>
                </w:p>
              </w:tc>
              <w:tc>
                <w:tcPr>
                  <w:tcW w:w="273"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2,75</w:t>
                  </w:r>
                </w:p>
              </w:tc>
              <w:tc>
                <w:tcPr>
                  <w:tcW w:w="361"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3,95</w:t>
                  </w:r>
                </w:p>
              </w:tc>
              <w:tc>
                <w:tcPr>
                  <w:tcW w:w="22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5,34</w:t>
                  </w:r>
                </w:p>
              </w:tc>
              <w:tc>
                <w:tcPr>
                  <w:tcW w:w="28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5,60</w:t>
                  </w:r>
                </w:p>
              </w:tc>
              <w:tc>
                <w:tcPr>
                  <w:tcW w:w="28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5,50</w:t>
                  </w:r>
                </w:p>
              </w:tc>
              <w:tc>
                <w:tcPr>
                  <w:tcW w:w="33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4,27</w:t>
                  </w:r>
                </w:p>
              </w:tc>
              <w:tc>
                <w:tcPr>
                  <w:tcW w:w="455"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2,69</w:t>
                  </w:r>
                </w:p>
              </w:tc>
              <w:tc>
                <w:tcPr>
                  <w:tcW w:w="41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1,45</w:t>
                  </w:r>
                </w:p>
              </w:tc>
              <w:tc>
                <w:tcPr>
                  <w:tcW w:w="362"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0,75</w:t>
                  </w:r>
                </w:p>
              </w:tc>
              <w:tc>
                <w:tcPr>
                  <w:tcW w:w="4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0,45</w:t>
                  </w:r>
                </w:p>
              </w:tc>
              <w:tc>
                <w:tcPr>
                  <w:tcW w:w="2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2,91</w:t>
                  </w:r>
                </w:p>
              </w:tc>
            </w:tr>
            <w:tr w:rsidR="00A21B2D" w:rsidRPr="00A21B2D" w:rsidTr="0086028E">
              <w:tc>
                <w:tcPr>
                  <w:tcW w:w="542" w:type="pct"/>
                  <w:tcBorders>
                    <w:top w:val="single" w:sz="4" w:space="0" w:color="auto"/>
                    <w:left w:val="single" w:sz="4" w:space="0" w:color="auto"/>
                    <w:bottom w:val="single" w:sz="4" w:space="0" w:color="auto"/>
                    <w:right w:val="single" w:sz="4" w:space="0" w:color="auto"/>
                  </w:tcBorders>
                  <w:vAlign w:val="center"/>
                  <w:hideMark/>
                </w:tcPr>
                <w:p w:rsidR="00A21B2D" w:rsidRPr="00A21B2D" w:rsidRDefault="00A21B2D" w:rsidP="00A21B2D">
                  <w:pPr>
                    <w:pStyle w:val="1"/>
                    <w:spacing w:line="276" w:lineRule="auto"/>
                    <w:rPr>
                      <w:rFonts w:ascii="Times New Roman" w:hAnsi="Times New Roman"/>
                      <w:sz w:val="12"/>
                      <w:szCs w:val="12"/>
                      <w:lang w:val="ru-RU"/>
                    </w:rPr>
                  </w:pPr>
                  <w:r w:rsidRPr="00A21B2D">
                    <w:rPr>
                      <w:rFonts w:ascii="Times New Roman" w:hAnsi="Times New Roman"/>
                      <w:sz w:val="12"/>
                      <w:szCs w:val="12"/>
                      <w:lang w:val="ru-RU"/>
                    </w:rPr>
                    <w:t>Екатеринбург</w:t>
                  </w:r>
                </w:p>
              </w:tc>
              <w:tc>
                <w:tcPr>
                  <w:tcW w:w="42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0,64</w:t>
                  </w:r>
                </w:p>
              </w:tc>
              <w:tc>
                <w:tcPr>
                  <w:tcW w:w="419"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1,05</w:t>
                  </w:r>
                </w:p>
              </w:tc>
              <w:tc>
                <w:tcPr>
                  <w:tcW w:w="273"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2,94</w:t>
                  </w:r>
                </w:p>
              </w:tc>
              <w:tc>
                <w:tcPr>
                  <w:tcW w:w="361"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4,11</w:t>
                  </w:r>
                </w:p>
              </w:tc>
              <w:tc>
                <w:tcPr>
                  <w:tcW w:w="22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5,11</w:t>
                  </w:r>
                </w:p>
              </w:tc>
              <w:tc>
                <w:tcPr>
                  <w:tcW w:w="28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5,72</w:t>
                  </w:r>
                </w:p>
              </w:tc>
              <w:tc>
                <w:tcPr>
                  <w:tcW w:w="287"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5,22</w:t>
                  </w:r>
                </w:p>
              </w:tc>
              <w:tc>
                <w:tcPr>
                  <w:tcW w:w="33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4,06</w:t>
                  </w:r>
                </w:p>
              </w:tc>
              <w:tc>
                <w:tcPr>
                  <w:tcW w:w="455"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2,56</w:t>
                  </w:r>
                </w:p>
              </w:tc>
              <w:tc>
                <w:tcPr>
                  <w:tcW w:w="418"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1,36</w:t>
                  </w:r>
                </w:p>
              </w:tc>
              <w:tc>
                <w:tcPr>
                  <w:tcW w:w="362"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0,72</w:t>
                  </w:r>
                </w:p>
              </w:tc>
              <w:tc>
                <w:tcPr>
                  <w:tcW w:w="4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0,44</w:t>
                  </w:r>
                </w:p>
              </w:tc>
              <w:tc>
                <w:tcPr>
                  <w:tcW w:w="200" w:type="pct"/>
                  <w:tcBorders>
                    <w:top w:val="single" w:sz="4" w:space="0" w:color="auto"/>
                    <w:left w:val="single" w:sz="4" w:space="0" w:color="auto"/>
                    <w:bottom w:val="single" w:sz="4" w:space="0" w:color="auto"/>
                    <w:right w:val="single" w:sz="4" w:space="0" w:color="auto"/>
                  </w:tcBorders>
                  <w:hideMark/>
                </w:tcPr>
                <w:p w:rsidR="00A21B2D" w:rsidRPr="00A21B2D" w:rsidRDefault="00A21B2D" w:rsidP="00A21B2D">
                  <w:pPr>
                    <w:pStyle w:val="1"/>
                    <w:spacing w:line="276" w:lineRule="auto"/>
                    <w:jc w:val="center"/>
                    <w:rPr>
                      <w:rFonts w:ascii="Times New Roman" w:hAnsi="Times New Roman"/>
                      <w:sz w:val="12"/>
                      <w:szCs w:val="12"/>
                      <w:lang w:val="ru-RU"/>
                    </w:rPr>
                  </w:pPr>
                  <w:r w:rsidRPr="00A21B2D">
                    <w:rPr>
                      <w:rFonts w:ascii="Times New Roman" w:hAnsi="Times New Roman"/>
                      <w:sz w:val="12"/>
                      <w:szCs w:val="12"/>
                      <w:lang w:val="ru-RU"/>
                    </w:rPr>
                    <w:t>2,87</w:t>
                  </w:r>
                </w:p>
              </w:tc>
            </w:tr>
          </w:tbl>
          <w:p w:rsidR="00A21B2D" w:rsidRPr="00D423B2" w:rsidRDefault="00A21B2D" w:rsidP="006B6E46">
            <w:pPr>
              <w:pStyle w:val="1"/>
              <w:ind w:firstLine="709"/>
              <w:jc w:val="center"/>
              <w:rPr>
                <w:rFonts w:ascii="Times New Roman" w:hAnsi="Times New Roman"/>
                <w:sz w:val="24"/>
                <w:szCs w:val="24"/>
                <w:lang w:val="ru-RU" w:eastAsia="ru-RU"/>
              </w:rPr>
            </w:pPr>
          </w:p>
          <w:p w:rsidR="00606269" w:rsidRPr="00D423B2" w:rsidRDefault="007915C3" w:rsidP="00606269">
            <w:pPr>
              <w:pStyle w:val="1"/>
              <w:ind w:firstLine="709"/>
              <w:jc w:val="right"/>
              <w:rPr>
                <w:rFonts w:ascii="Times New Roman" w:hAnsi="Times New Roman"/>
                <w:sz w:val="24"/>
                <w:szCs w:val="24"/>
                <w:lang w:val="ru-RU"/>
              </w:rPr>
            </w:pPr>
            <w:r>
              <w:rPr>
                <w:rFonts w:ascii="Times New Roman" w:hAnsi="Times New Roman"/>
                <w:sz w:val="24"/>
                <w:szCs w:val="24"/>
                <w:lang w:val="ru-RU"/>
              </w:rPr>
              <w:t xml:space="preserve">Таблица </w:t>
            </w:r>
            <w:r w:rsidR="00606269" w:rsidRPr="00D423B2">
              <w:rPr>
                <w:rFonts w:ascii="Times New Roman" w:hAnsi="Times New Roman"/>
                <w:sz w:val="24"/>
                <w:szCs w:val="24"/>
                <w:lang w:val="ru-RU"/>
              </w:rPr>
              <w:t>18</w:t>
            </w:r>
          </w:p>
          <w:p w:rsidR="00606269" w:rsidRPr="00D423B2" w:rsidRDefault="00606269" w:rsidP="00606269">
            <w:pPr>
              <w:pStyle w:val="1"/>
              <w:ind w:firstLine="709"/>
              <w:jc w:val="right"/>
              <w:rPr>
                <w:rFonts w:ascii="Times New Roman" w:hAnsi="Times New Roman"/>
                <w:sz w:val="24"/>
                <w:szCs w:val="24"/>
                <w:lang w:val="ru-RU"/>
              </w:rPr>
            </w:pPr>
          </w:p>
          <w:p w:rsidR="00AA0AEB" w:rsidRPr="00AA0AEB" w:rsidRDefault="00AA0AEB" w:rsidP="00AA0AEB">
            <w:pPr>
              <w:pStyle w:val="1"/>
              <w:jc w:val="center"/>
              <w:rPr>
                <w:rFonts w:ascii="Times New Roman" w:hAnsi="Times New Roman"/>
                <w:sz w:val="24"/>
                <w:szCs w:val="24"/>
                <w:lang w:val="ru-RU" w:eastAsia="ru-RU"/>
              </w:rPr>
            </w:pPr>
            <w:r w:rsidRPr="00AA0AEB">
              <w:rPr>
                <w:rFonts w:ascii="Times New Roman" w:hAnsi="Times New Roman"/>
                <w:sz w:val="24"/>
                <w:szCs w:val="24"/>
                <w:lang w:val="ru-RU" w:eastAsia="ru-RU"/>
              </w:rPr>
              <w:t>Количество солнечной энергии, приходящейся на поверхность солнечного модуля, для г. Казань в зависимости от угла наклона, кВт*ч/м</w:t>
            </w:r>
            <w:r w:rsidRPr="00AA0AEB">
              <w:rPr>
                <w:rFonts w:ascii="Times New Roman" w:hAnsi="Times New Roman"/>
                <w:sz w:val="24"/>
                <w:szCs w:val="24"/>
                <w:vertAlign w:val="superscript"/>
                <w:lang w:val="ru-RU" w:eastAsia="ru-RU"/>
              </w:rPr>
              <w:t>2</w:t>
            </w:r>
          </w:p>
          <w:p w:rsidR="00BD52A7" w:rsidRPr="00D423B2" w:rsidRDefault="00BD52A7" w:rsidP="00606269">
            <w:pPr>
              <w:pStyle w:val="1"/>
              <w:ind w:firstLine="709"/>
              <w:jc w:val="center"/>
              <w:rPr>
                <w:rFonts w:ascii="Times New Roman" w:hAnsi="Times New Roman"/>
                <w:sz w:val="24"/>
                <w:szCs w:val="24"/>
                <w:lang w:val="ru-RU"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1"/>
              <w:gridCol w:w="288"/>
              <w:gridCol w:w="298"/>
              <w:gridCol w:w="340"/>
              <w:gridCol w:w="280"/>
              <w:gridCol w:w="287"/>
              <w:gridCol w:w="316"/>
              <w:gridCol w:w="325"/>
              <w:gridCol w:w="288"/>
              <w:gridCol w:w="287"/>
              <w:gridCol w:w="334"/>
              <w:gridCol w:w="298"/>
              <w:gridCol w:w="281"/>
              <w:gridCol w:w="286"/>
            </w:tblGrid>
            <w:tr w:rsidR="00777568" w:rsidRPr="00777568"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кВт*ч/м</w:t>
                  </w:r>
                  <w:r w:rsidRPr="00777568">
                    <w:rPr>
                      <w:color w:val="000000"/>
                      <w:sz w:val="12"/>
                      <w:szCs w:val="12"/>
                      <w:vertAlign w:val="superscript"/>
                    </w:rPr>
                    <w:t>2</w:t>
                  </w:r>
                  <w:r w:rsidRPr="00777568">
                    <w:rPr>
                      <w:color w:val="000000"/>
                      <w:sz w:val="12"/>
                      <w:szCs w:val="12"/>
                    </w:rPr>
                    <w:t>/день</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Янв</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Фев</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56"/>
                    <w:jc w:val="center"/>
                    <w:rPr>
                      <w:color w:val="000000"/>
                      <w:sz w:val="12"/>
                      <w:szCs w:val="12"/>
                    </w:rPr>
                  </w:pPr>
                  <w:r w:rsidRPr="00777568">
                    <w:rPr>
                      <w:color w:val="000000"/>
                      <w:sz w:val="12"/>
                      <w:szCs w:val="12"/>
                    </w:rPr>
                    <w:t>Март</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Апр</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Май</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Июнь</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Июль</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Авг</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Сент</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Окт</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Нояб</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Дек</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Год</w:t>
                  </w:r>
                </w:p>
              </w:tc>
            </w:tr>
            <w:tr w:rsidR="00777568" w:rsidRPr="00777568"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Угол наклона 0</w:t>
                  </w:r>
                  <w:r w:rsidRPr="00777568">
                    <w:rPr>
                      <w:color w:val="000000"/>
                      <w:sz w:val="12"/>
                      <w:szCs w:val="12"/>
                      <w:vertAlign w:val="superscript"/>
                    </w:rPr>
                    <w:t>о</w:t>
                  </w:r>
                  <w:r w:rsidRPr="00777568">
                    <w:rPr>
                      <w:color w:val="000000"/>
                      <w:sz w:val="12"/>
                      <w:szCs w:val="12"/>
                    </w:rPr>
                    <w:t xml:space="preserve"> (горизонтально)</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0.68</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1.37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56"/>
                    <w:jc w:val="center"/>
                    <w:rPr>
                      <w:color w:val="000000"/>
                      <w:sz w:val="12"/>
                      <w:szCs w:val="12"/>
                    </w:rPr>
                  </w:pPr>
                  <w:r w:rsidRPr="00777568">
                    <w:rPr>
                      <w:color w:val="000000"/>
                      <w:sz w:val="12"/>
                      <w:szCs w:val="12"/>
                    </w:rPr>
                    <w:t>2.80</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4.26</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5.54</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6.00</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5.72</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4.50</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2.83</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1.50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0.82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0.54</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3.05</w:t>
                  </w:r>
                </w:p>
              </w:tc>
            </w:tr>
            <w:tr w:rsidR="00777568" w:rsidRPr="00777568"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Угол</w:t>
                  </w:r>
                  <w:r w:rsidRPr="00777568">
                    <w:rPr>
                      <w:color w:val="000000"/>
                      <w:sz w:val="12"/>
                      <w:szCs w:val="12"/>
                      <w:lang w:val="en-US"/>
                    </w:rPr>
                    <w:t xml:space="preserve"> </w:t>
                  </w:r>
                  <w:r w:rsidRPr="00777568">
                    <w:rPr>
                      <w:color w:val="000000"/>
                      <w:sz w:val="12"/>
                      <w:szCs w:val="12"/>
                    </w:rPr>
                    <w:t>наклона</w:t>
                  </w:r>
                  <w:r w:rsidRPr="00777568">
                    <w:rPr>
                      <w:color w:val="000000"/>
                      <w:sz w:val="12"/>
                      <w:szCs w:val="12"/>
                      <w:lang w:val="en-US"/>
                    </w:rPr>
                    <w:t xml:space="preserve"> 40</w:t>
                  </w:r>
                  <w:r w:rsidRPr="00777568">
                    <w:rPr>
                      <w:color w:val="000000"/>
                      <w:sz w:val="12"/>
                      <w:szCs w:val="12"/>
                      <w:vertAlign w:val="superscript"/>
                    </w:rPr>
                    <w:t>о</w:t>
                  </w:r>
                  <w:r w:rsidRPr="00777568">
                    <w:rPr>
                      <w:color w:val="000000"/>
                      <w:sz w:val="12"/>
                      <w:szCs w:val="12"/>
                    </w:rPr>
                    <w:t xml:space="preserve"> </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1.34</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2.20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67"/>
                    <w:jc w:val="center"/>
                    <w:rPr>
                      <w:color w:val="000000"/>
                      <w:sz w:val="12"/>
                      <w:szCs w:val="12"/>
                    </w:rPr>
                  </w:pPr>
                  <w:r w:rsidRPr="00777568">
                    <w:rPr>
                      <w:color w:val="000000"/>
                      <w:sz w:val="12"/>
                      <w:szCs w:val="12"/>
                    </w:rPr>
                    <w:t>3.84</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4.89</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5.59</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5.73</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5.60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4.83</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3.51</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2.23</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1.52</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1.22</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3.54</w:t>
                  </w:r>
                </w:p>
              </w:tc>
            </w:tr>
            <w:tr w:rsidR="00777568" w:rsidRPr="00777568"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Угол наклона 55</w:t>
                  </w:r>
                  <w:r w:rsidRPr="00777568">
                    <w:rPr>
                      <w:color w:val="000000"/>
                      <w:sz w:val="12"/>
                      <w:szCs w:val="12"/>
                      <w:vertAlign w:val="superscript"/>
                    </w:rPr>
                    <w:t>о</w:t>
                  </w:r>
                  <w:r w:rsidRPr="00777568">
                    <w:rPr>
                      <w:color w:val="000000"/>
                      <w:sz w:val="12"/>
                      <w:szCs w:val="12"/>
                    </w:rPr>
                    <w:t xml:space="preserve"> (равный широте)</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1.48</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2.34</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67"/>
                    <w:jc w:val="center"/>
                    <w:rPr>
                      <w:color w:val="000000"/>
                      <w:sz w:val="12"/>
                      <w:szCs w:val="12"/>
                    </w:rPr>
                  </w:pPr>
                  <w:r w:rsidRPr="00777568">
                    <w:rPr>
                      <w:color w:val="000000"/>
                      <w:sz w:val="12"/>
                      <w:szCs w:val="12"/>
                    </w:rPr>
                    <w:t>3.94</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4.70</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5.13</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5.17</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5.09</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4.53</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3.45</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2.31</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1.65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1.37</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3.43</w:t>
                  </w:r>
                </w:p>
              </w:tc>
            </w:tr>
            <w:tr w:rsidR="00777568" w:rsidRPr="00777568"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Угол</w:t>
                  </w:r>
                  <w:r w:rsidRPr="00FA42A6">
                    <w:rPr>
                      <w:color w:val="000000"/>
                      <w:sz w:val="12"/>
                      <w:szCs w:val="12"/>
                    </w:rPr>
                    <w:t xml:space="preserve"> </w:t>
                  </w:r>
                  <w:r w:rsidRPr="00777568">
                    <w:rPr>
                      <w:color w:val="000000"/>
                      <w:sz w:val="12"/>
                      <w:szCs w:val="12"/>
                    </w:rPr>
                    <w:t>наклона</w:t>
                  </w:r>
                  <w:r w:rsidRPr="00FA42A6">
                    <w:rPr>
                      <w:color w:val="000000"/>
                      <w:sz w:val="12"/>
                      <w:szCs w:val="12"/>
                    </w:rPr>
                    <w:t xml:space="preserve"> </w:t>
                  </w:r>
                  <w:r w:rsidRPr="00777568">
                    <w:rPr>
                      <w:color w:val="000000"/>
                      <w:sz w:val="12"/>
                      <w:szCs w:val="12"/>
                    </w:rPr>
                    <w:t>70</w:t>
                  </w:r>
                  <w:r w:rsidRPr="00777568">
                    <w:rPr>
                      <w:color w:val="000000"/>
                      <w:sz w:val="12"/>
                      <w:szCs w:val="12"/>
                      <w:vertAlign w:val="superscript"/>
                    </w:rPr>
                    <w:t>о</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1.54</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2.37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11"/>
                    <w:jc w:val="center"/>
                    <w:rPr>
                      <w:color w:val="000000"/>
                      <w:sz w:val="12"/>
                      <w:szCs w:val="12"/>
                    </w:rPr>
                  </w:pPr>
                  <w:r w:rsidRPr="00777568">
                    <w:rPr>
                      <w:color w:val="000000"/>
                      <w:sz w:val="12"/>
                      <w:szCs w:val="12"/>
                    </w:rPr>
                    <w:t>3.87</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4.30</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4.47</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4.43</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4.39</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4.05</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3.23</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2.27</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1.70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1.43</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3.17</w:t>
                  </w:r>
                </w:p>
              </w:tc>
            </w:tr>
            <w:tr w:rsidR="00777568" w:rsidRPr="00777568"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Угол наклона 90</w:t>
                  </w:r>
                  <w:r w:rsidRPr="00777568">
                    <w:rPr>
                      <w:color w:val="000000"/>
                      <w:sz w:val="12"/>
                      <w:szCs w:val="12"/>
                      <w:vertAlign w:val="superscript"/>
                    </w:rPr>
                    <w:t xml:space="preserve">о </w:t>
                  </w:r>
                  <w:r w:rsidRPr="00777568">
                    <w:rPr>
                      <w:color w:val="000000"/>
                      <w:sz w:val="12"/>
                      <w:szCs w:val="12"/>
                    </w:rPr>
                    <w:t>(вертикально)</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34"/>
                    <w:jc w:val="center"/>
                    <w:rPr>
                      <w:color w:val="000000"/>
                      <w:sz w:val="12"/>
                      <w:szCs w:val="12"/>
                    </w:rPr>
                  </w:pPr>
                  <w:r w:rsidRPr="00777568">
                    <w:rPr>
                      <w:color w:val="000000"/>
                      <w:sz w:val="12"/>
                      <w:szCs w:val="12"/>
                    </w:rPr>
                    <w:t>1.49</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2.23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11"/>
                    <w:jc w:val="center"/>
                    <w:rPr>
                      <w:color w:val="000000"/>
                      <w:sz w:val="12"/>
                      <w:szCs w:val="12"/>
                    </w:rPr>
                  </w:pPr>
                  <w:r w:rsidRPr="00777568">
                    <w:rPr>
                      <w:color w:val="000000"/>
                      <w:sz w:val="12"/>
                      <w:szCs w:val="12"/>
                    </w:rPr>
                    <w:t>3.50</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3.48</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3.31</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3.19</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3.20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3.14</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2.70</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45"/>
                    <w:jc w:val="center"/>
                    <w:rPr>
                      <w:color w:val="000000"/>
                      <w:sz w:val="12"/>
                      <w:szCs w:val="12"/>
                    </w:rPr>
                  </w:pPr>
                  <w:r w:rsidRPr="00777568">
                    <w:rPr>
                      <w:color w:val="000000"/>
                      <w:sz w:val="12"/>
                      <w:szCs w:val="12"/>
                    </w:rPr>
                    <w:t>2.04</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1.61</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1.40</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2.61</w:t>
                  </w:r>
                </w:p>
              </w:tc>
            </w:tr>
            <w:tr w:rsidR="00777568" w:rsidRPr="00777568"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Под оптимальным углом</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
                    <w:jc w:val="center"/>
                    <w:rPr>
                      <w:color w:val="000000"/>
                      <w:sz w:val="12"/>
                      <w:szCs w:val="12"/>
                    </w:rPr>
                  </w:pPr>
                  <w:r w:rsidRPr="00777568">
                    <w:rPr>
                      <w:color w:val="000000"/>
                      <w:sz w:val="12"/>
                      <w:szCs w:val="12"/>
                    </w:rPr>
                    <w:t>1.54</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67"/>
                    <w:jc w:val="center"/>
                    <w:rPr>
                      <w:color w:val="000000"/>
                      <w:sz w:val="12"/>
                      <w:szCs w:val="12"/>
                    </w:rPr>
                  </w:pPr>
                  <w:r w:rsidRPr="00777568">
                    <w:rPr>
                      <w:color w:val="000000"/>
                      <w:sz w:val="12"/>
                      <w:szCs w:val="12"/>
                    </w:rPr>
                    <w:t>2.37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54"/>
                    <w:jc w:val="center"/>
                    <w:rPr>
                      <w:color w:val="000000"/>
                      <w:sz w:val="12"/>
                      <w:szCs w:val="12"/>
                    </w:rPr>
                  </w:pPr>
                  <w:r w:rsidRPr="00777568">
                    <w:rPr>
                      <w:color w:val="000000"/>
                      <w:sz w:val="12"/>
                      <w:szCs w:val="12"/>
                    </w:rPr>
                    <w:t>3.94</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4.90</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5.79</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6.11</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23"/>
                    <w:jc w:val="center"/>
                    <w:rPr>
                      <w:color w:val="000000"/>
                      <w:sz w:val="12"/>
                      <w:szCs w:val="12"/>
                    </w:rPr>
                  </w:pPr>
                  <w:r w:rsidRPr="00777568">
                    <w:rPr>
                      <w:color w:val="000000"/>
                      <w:sz w:val="12"/>
                      <w:szCs w:val="12"/>
                    </w:rPr>
                    <w:t>5.89</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4.90</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3.51</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43"/>
                    <w:jc w:val="center"/>
                    <w:rPr>
                      <w:color w:val="000000"/>
                      <w:sz w:val="12"/>
                      <w:szCs w:val="12"/>
                    </w:rPr>
                  </w:pPr>
                  <w:r w:rsidRPr="00777568">
                    <w:rPr>
                      <w:color w:val="000000"/>
                      <w:sz w:val="12"/>
                      <w:szCs w:val="12"/>
                    </w:rPr>
                    <w:t>2.31</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1.70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1.44</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3.70</w:t>
                  </w:r>
                </w:p>
              </w:tc>
            </w:tr>
            <w:tr w:rsidR="00777568" w:rsidRPr="00777568" w:rsidTr="0086028E">
              <w:tc>
                <w:tcPr>
                  <w:tcW w:w="1106" w:type="pct"/>
                  <w:tcBorders>
                    <w:top w:val="single" w:sz="4" w:space="0" w:color="auto"/>
                    <w:left w:val="single" w:sz="4" w:space="0" w:color="auto"/>
                    <w:bottom w:val="single" w:sz="4" w:space="0" w:color="auto"/>
                    <w:right w:val="single" w:sz="4" w:space="0" w:color="auto"/>
                  </w:tcBorders>
                  <w:shd w:val="clear" w:color="auto" w:fill="auto"/>
                  <w:hideMark/>
                </w:tcPr>
                <w:p w:rsidR="00777568" w:rsidRPr="00777568" w:rsidRDefault="00777568" w:rsidP="00777568">
                  <w:pPr>
                    <w:rPr>
                      <w:color w:val="000000"/>
                      <w:sz w:val="12"/>
                      <w:szCs w:val="12"/>
                    </w:rPr>
                  </w:pPr>
                  <w:r w:rsidRPr="00777568">
                    <w:rPr>
                      <w:color w:val="000000"/>
                      <w:sz w:val="12"/>
                      <w:szCs w:val="12"/>
                    </w:rPr>
                    <w:t>Оптимальный угол</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73</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89"/>
                    <w:jc w:val="center"/>
                    <w:rPr>
                      <w:color w:val="000000"/>
                      <w:sz w:val="12"/>
                      <w:szCs w:val="12"/>
                    </w:rPr>
                  </w:pPr>
                  <w:r w:rsidRPr="00777568">
                    <w:rPr>
                      <w:color w:val="000000"/>
                      <w:sz w:val="12"/>
                      <w:szCs w:val="12"/>
                    </w:rPr>
                    <w:t>66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87"/>
                    <w:jc w:val="center"/>
                    <w:rPr>
                      <w:color w:val="000000"/>
                      <w:sz w:val="12"/>
                      <w:szCs w:val="12"/>
                    </w:rPr>
                  </w:pPr>
                  <w:r w:rsidRPr="00777568">
                    <w:rPr>
                      <w:color w:val="000000"/>
                      <w:sz w:val="12"/>
                      <w:szCs w:val="12"/>
                    </w:rPr>
                    <w:t>56</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35</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22</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2"/>
                    <w:jc w:val="center"/>
                    <w:rPr>
                      <w:color w:val="000000"/>
                      <w:sz w:val="12"/>
                      <w:szCs w:val="12"/>
                    </w:rPr>
                  </w:pPr>
                  <w:r w:rsidRPr="00777568">
                    <w:rPr>
                      <w:color w:val="000000"/>
                      <w:sz w:val="12"/>
                      <w:szCs w:val="12"/>
                    </w:rPr>
                    <w:t>14</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99"/>
                    <w:jc w:val="center"/>
                    <w:rPr>
                      <w:color w:val="000000"/>
                      <w:sz w:val="12"/>
                      <w:szCs w:val="12"/>
                    </w:rPr>
                  </w:pPr>
                  <w:r w:rsidRPr="00777568">
                    <w:rPr>
                      <w:color w:val="000000"/>
                      <w:sz w:val="12"/>
                      <w:szCs w:val="12"/>
                    </w:rPr>
                    <w:t>16</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28</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43</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110"/>
                    <w:jc w:val="center"/>
                    <w:rPr>
                      <w:color w:val="000000"/>
                      <w:sz w:val="12"/>
                      <w:szCs w:val="12"/>
                    </w:rPr>
                  </w:pPr>
                  <w:r w:rsidRPr="00777568">
                    <w:rPr>
                      <w:color w:val="000000"/>
                      <w:sz w:val="12"/>
                      <w:szCs w:val="12"/>
                    </w:rPr>
                    <w:t>57</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70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jc w:val="center"/>
                    <w:rPr>
                      <w:color w:val="000000"/>
                      <w:sz w:val="12"/>
                      <w:szCs w:val="12"/>
                    </w:rPr>
                  </w:pPr>
                  <w:r w:rsidRPr="00777568">
                    <w:rPr>
                      <w:color w:val="000000"/>
                      <w:sz w:val="12"/>
                      <w:szCs w:val="12"/>
                    </w:rPr>
                    <w:t>75</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77568" w:rsidRPr="00777568" w:rsidRDefault="00777568" w:rsidP="00777568">
                  <w:pPr>
                    <w:ind w:left="77"/>
                    <w:jc w:val="center"/>
                    <w:rPr>
                      <w:color w:val="000000"/>
                      <w:sz w:val="12"/>
                      <w:szCs w:val="12"/>
                    </w:rPr>
                  </w:pPr>
                  <w:r w:rsidRPr="00777568">
                    <w:rPr>
                      <w:color w:val="000000"/>
                      <w:sz w:val="12"/>
                      <w:szCs w:val="12"/>
                    </w:rPr>
                    <w:t>46</w:t>
                  </w:r>
                </w:p>
              </w:tc>
            </w:tr>
          </w:tbl>
          <w:p w:rsidR="00777568" w:rsidRDefault="00777568" w:rsidP="00BD52A7">
            <w:pPr>
              <w:pStyle w:val="1"/>
              <w:ind w:firstLine="709"/>
              <w:jc w:val="both"/>
              <w:rPr>
                <w:rFonts w:ascii="Times New Roman" w:hAnsi="Times New Roman"/>
                <w:sz w:val="24"/>
                <w:szCs w:val="24"/>
                <w:lang w:val="ru-RU" w:eastAsia="ru-RU"/>
              </w:rPr>
            </w:pP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Новочебоксарский завод «Хевел» начал выпуск солнечных модулей по принципиально новой технологии – гетероструктурной (Heterojunction – HJT). Ее отличает высокая эффективность выработки электроэнергии: средний КПД ячеек составляет более 22 процентов), а эффективность модулей – 20 процентов). </w:t>
            </w:r>
            <w:r w:rsidRPr="00D26D4E">
              <w:rPr>
                <w:rFonts w:ascii="Times New Roman" w:hAnsi="Times New Roman"/>
                <w:color w:val="000000"/>
                <w:sz w:val="24"/>
                <w:szCs w:val="24"/>
                <w:lang w:val="ru-RU" w:eastAsia="ru-RU"/>
              </w:rPr>
              <w:br/>
              <w:t>При этом в настоящее время средний показатель эффективности качественных серийных солнечных панелей в мире находится на уровне порядка 16 процентов. Новые модули «Хевел» эффективнее работают в условиях рассеянного света, а также при высоких и низких температурах, что существенно расширяет условия их применения.</w:t>
            </w: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Повысить объем выработки солнечной (фотоэлектрической) электростанции помогают системы слежения за солнцем (трекеры – Solar Tracker). Такие системы бывают однокоординатными, то есть обеспечивающими изменение угла наклона солнечных модулей в одной плоскости, по вертикали (вверх – вниз) или горизонтали (восток – запад), двух- и многокоординатными.  С их помощью повышается коэффициент использования мощности объектов солнечной генерации, соответственно, выработка.</w:t>
            </w: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Развитие солнечной энергетики в Татарстане сдерживается рядом факторов:</w:t>
            </w: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обладая низкой плотностью энергии, фотоэлектрическая генерация требует достаточно больших площадей для размещения мощностей;</w:t>
            </w: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осенний и зимний периоды характеризуются высокой облачностью с небольшим числом солнечных дней, что снижает выработку.</w:t>
            </w:r>
          </w:p>
          <w:p w:rsidR="00D26D4E" w:rsidRPr="00D26D4E" w:rsidRDefault="00D26D4E" w:rsidP="00D26D4E">
            <w:pPr>
              <w:pStyle w:val="1"/>
              <w:ind w:firstLine="709"/>
              <w:jc w:val="both"/>
              <w:rPr>
                <w:rFonts w:ascii="Times New Roman" w:hAnsi="Times New Roman"/>
                <w:color w:val="000000"/>
                <w:sz w:val="24"/>
                <w:szCs w:val="24"/>
                <w:lang w:val="ru-RU" w:eastAsia="ru-RU"/>
              </w:rPr>
            </w:pPr>
            <w:r w:rsidRPr="00D26D4E">
              <w:rPr>
                <w:rFonts w:ascii="Times New Roman" w:hAnsi="Times New Roman"/>
                <w:color w:val="000000"/>
                <w:sz w:val="24"/>
                <w:szCs w:val="24"/>
                <w:lang w:val="ru-RU" w:eastAsia="ru-RU"/>
              </w:rPr>
              <w:t>Одним из эффективных способов улучшения технико-экономических показателей фотоэлектрических установок является их совместное использование с ветроустановками.</w:t>
            </w:r>
          </w:p>
          <w:p w:rsidR="00BD52A7" w:rsidRPr="00D423B2" w:rsidRDefault="00BD52A7" w:rsidP="00BD52A7">
            <w:pPr>
              <w:pStyle w:val="1"/>
              <w:ind w:firstLine="709"/>
              <w:jc w:val="both"/>
              <w:rPr>
                <w:rFonts w:ascii="Times New Roman" w:hAnsi="Times New Roman"/>
                <w:sz w:val="24"/>
                <w:szCs w:val="24"/>
                <w:lang w:val="ru-RU" w:eastAsia="ru-RU"/>
              </w:rPr>
            </w:pPr>
          </w:p>
          <w:p w:rsidR="00BD52A7" w:rsidRDefault="00FA42A6" w:rsidP="00BD52A7">
            <w:pPr>
              <w:pStyle w:val="1"/>
              <w:ind w:firstLine="709"/>
              <w:jc w:val="both"/>
              <w:rPr>
                <w:rFonts w:ascii="Times New Roman" w:hAnsi="Times New Roman"/>
                <w:sz w:val="24"/>
                <w:szCs w:val="24"/>
                <w:lang w:val="ru-RU"/>
              </w:rPr>
            </w:pPr>
            <w:r w:rsidRPr="00FA42A6">
              <w:rPr>
                <w:rFonts w:ascii="Times New Roman" w:hAnsi="Times New Roman"/>
                <w:sz w:val="24"/>
                <w:szCs w:val="24"/>
                <w:lang w:val="ru-RU"/>
              </w:rPr>
              <w:t>4.4.3. Термическая переработка твердых коммунальных отходов с получением электроэнергии</w:t>
            </w:r>
          </w:p>
          <w:p w:rsidR="00FA42A6" w:rsidRPr="00D423B2" w:rsidRDefault="00FA42A6" w:rsidP="00BD52A7">
            <w:pPr>
              <w:pStyle w:val="1"/>
              <w:ind w:firstLine="709"/>
              <w:jc w:val="both"/>
              <w:rPr>
                <w:rFonts w:ascii="Times New Roman" w:hAnsi="Times New Roman"/>
                <w:sz w:val="24"/>
                <w:szCs w:val="24"/>
                <w:lang w:val="ru-RU" w:eastAsia="ru-RU"/>
              </w:rPr>
            </w:pP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Твердые коммунальные отходы (далее – ТКО) по структуре их образования так же можно отнести к возобновляемым источникам энергии. ТКО – это остатки продуктов и предметы, которые были использованы в быту и утратили свои потребительские характеристики. ТКО состоят из:</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пищевые отходы – 24 процента;</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бумага, картон – 21 процент;</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полимеры –13 процентов;</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стекло – 13 процентов;</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полиэтилентерефталат – 4 процента;</w:t>
            </w:r>
          </w:p>
          <w:p w:rsidR="009650EE" w:rsidRPr="009650EE" w:rsidRDefault="009650EE" w:rsidP="009650EE">
            <w:pPr>
              <w:pStyle w:val="1"/>
              <w:ind w:firstLine="709"/>
              <w:jc w:val="both"/>
              <w:rPr>
                <w:rFonts w:ascii="Times New Roman" w:hAnsi="Times New Roman"/>
                <w:sz w:val="24"/>
                <w:szCs w:val="24"/>
                <w:lang w:val="ru-RU" w:eastAsia="ru-RU"/>
              </w:rPr>
            </w:pPr>
            <w:r w:rsidRPr="009650EE">
              <w:rPr>
                <w:rFonts w:ascii="Times New Roman" w:hAnsi="Times New Roman"/>
                <w:sz w:val="24"/>
                <w:szCs w:val="24"/>
                <w:lang w:val="ru-RU" w:eastAsia="ru-RU"/>
              </w:rPr>
              <w:t>другое (например, текстиль, дерево, кожа, металл) – 25 процентов.</w:t>
            </w:r>
          </w:p>
          <w:p w:rsidR="00344A80" w:rsidRDefault="009650EE" w:rsidP="00344A80">
            <w:pPr>
              <w:tabs>
                <w:tab w:val="left" w:pos="1515"/>
              </w:tabs>
              <w:jc w:val="both"/>
              <w:rPr>
                <w:rFonts w:ascii="Times New Roman" w:hAnsi="Times New Roman"/>
                <w:sz w:val="24"/>
                <w:szCs w:val="24"/>
                <w:lang w:eastAsia="ru-RU"/>
              </w:rPr>
            </w:pPr>
            <w:r w:rsidRPr="009650EE">
              <w:rPr>
                <w:rFonts w:ascii="Times New Roman" w:hAnsi="Times New Roman"/>
                <w:sz w:val="24"/>
                <w:szCs w:val="24"/>
                <w:lang w:eastAsia="ru-RU"/>
              </w:rPr>
              <w:t>Схема обращения с отходами представлена на рисунке 35, согласно которому даже использование отходов в виде вторичного сырья ограничено определенным количеством циклов, после которых их необходимо утилизировать. Их утилизация с выработкой тепловой и электрической энергии является одним из эффективных решений.</w:t>
            </w:r>
          </w:p>
          <w:p w:rsidR="00733B46" w:rsidRDefault="00733B46" w:rsidP="00344A80">
            <w:pPr>
              <w:tabs>
                <w:tab w:val="left" w:pos="1515"/>
              </w:tabs>
              <w:jc w:val="both"/>
              <w:rPr>
                <w:rFonts w:ascii="Times New Roman" w:hAnsi="Times New Roman"/>
                <w:sz w:val="24"/>
                <w:szCs w:val="24"/>
                <w:lang w:eastAsia="ru-RU"/>
              </w:rPr>
            </w:pPr>
          </w:p>
          <w:p w:rsidR="00733B46" w:rsidRDefault="00733B46" w:rsidP="00344A80">
            <w:pPr>
              <w:tabs>
                <w:tab w:val="left" w:pos="1515"/>
              </w:tabs>
              <w:jc w:val="both"/>
              <w:rPr>
                <w:rFonts w:ascii="Times New Roman" w:hAnsi="Times New Roman"/>
                <w:sz w:val="24"/>
                <w:szCs w:val="24"/>
                <w:lang w:eastAsia="ru-RU"/>
              </w:rPr>
            </w:pPr>
          </w:p>
          <w:p w:rsidR="00733B46" w:rsidRDefault="00733B46" w:rsidP="00344A80">
            <w:pPr>
              <w:tabs>
                <w:tab w:val="left" w:pos="1515"/>
              </w:tabs>
              <w:jc w:val="both"/>
              <w:rPr>
                <w:rFonts w:ascii="Times New Roman" w:hAnsi="Times New Roman"/>
                <w:sz w:val="24"/>
                <w:szCs w:val="24"/>
                <w:lang w:eastAsia="ru-RU"/>
              </w:rPr>
            </w:pPr>
          </w:p>
          <w:p w:rsidR="00733B46" w:rsidRDefault="00733B46" w:rsidP="00344A80">
            <w:pPr>
              <w:tabs>
                <w:tab w:val="left" w:pos="1515"/>
              </w:tabs>
              <w:jc w:val="both"/>
              <w:rPr>
                <w:rFonts w:ascii="Times New Roman" w:hAnsi="Times New Roman"/>
                <w:sz w:val="24"/>
                <w:szCs w:val="24"/>
                <w:lang w:eastAsia="ru-RU"/>
              </w:rPr>
            </w:pPr>
          </w:p>
          <w:p w:rsidR="00733B46" w:rsidRDefault="00733B46" w:rsidP="00344A80">
            <w:pPr>
              <w:tabs>
                <w:tab w:val="left" w:pos="1515"/>
              </w:tabs>
              <w:jc w:val="both"/>
              <w:rPr>
                <w:rFonts w:ascii="Times New Roman" w:hAnsi="Times New Roman" w:cs="Times New Roman"/>
                <w:noProof/>
                <w:sz w:val="24"/>
                <w:szCs w:val="24"/>
                <w:lang w:eastAsia="ru-RU"/>
              </w:rPr>
            </w:pPr>
          </w:p>
          <w:p w:rsidR="00C64CB9" w:rsidRPr="00D423B2" w:rsidRDefault="00733B46" w:rsidP="00733B46">
            <w:pPr>
              <w:tabs>
                <w:tab w:val="left" w:pos="1515"/>
              </w:tabs>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012E13FF">
                  <wp:extent cx="2792095" cy="1457325"/>
                  <wp:effectExtent l="0" t="0" r="825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92095" cy="1457325"/>
                          </a:xfrm>
                          <a:prstGeom prst="rect">
                            <a:avLst/>
                          </a:prstGeom>
                          <a:noFill/>
                        </pic:spPr>
                      </pic:pic>
                    </a:graphicData>
                  </a:graphic>
                </wp:inline>
              </w:drawing>
            </w:r>
          </w:p>
          <w:p w:rsidR="0079429D" w:rsidRDefault="0079429D" w:rsidP="0079429D">
            <w:pPr>
              <w:pStyle w:val="1"/>
              <w:ind w:firstLine="709"/>
              <w:jc w:val="center"/>
              <w:rPr>
                <w:rFonts w:ascii="Times New Roman" w:hAnsi="Times New Roman"/>
                <w:sz w:val="16"/>
                <w:szCs w:val="16"/>
                <w:lang w:val="ru-RU" w:eastAsia="ru-RU"/>
              </w:rPr>
            </w:pPr>
          </w:p>
          <w:p w:rsidR="0079429D" w:rsidRPr="0079429D" w:rsidRDefault="0079429D" w:rsidP="0079429D">
            <w:pPr>
              <w:pStyle w:val="1"/>
              <w:ind w:firstLine="709"/>
              <w:jc w:val="center"/>
              <w:rPr>
                <w:rFonts w:ascii="Times New Roman" w:hAnsi="Times New Roman"/>
                <w:sz w:val="16"/>
                <w:szCs w:val="16"/>
                <w:lang w:val="ru-RU" w:eastAsia="ru-RU"/>
              </w:rPr>
            </w:pPr>
            <w:r w:rsidRPr="0079429D">
              <w:rPr>
                <w:rFonts w:ascii="Times New Roman" w:hAnsi="Times New Roman"/>
                <w:sz w:val="16"/>
                <w:szCs w:val="16"/>
                <w:lang w:val="ru-RU" w:eastAsia="ru-RU"/>
              </w:rPr>
              <w:t>Рис.35. Схема обращения с отходами</w:t>
            </w:r>
          </w:p>
          <w:p w:rsidR="0079429D" w:rsidRDefault="0079429D" w:rsidP="00631AA6">
            <w:pPr>
              <w:pStyle w:val="1"/>
              <w:ind w:firstLine="709"/>
              <w:jc w:val="both"/>
              <w:rPr>
                <w:rFonts w:ascii="Times New Roman" w:hAnsi="Times New Roman"/>
                <w:sz w:val="24"/>
                <w:szCs w:val="24"/>
                <w:lang w:val="ru-RU" w:eastAsia="ru-RU"/>
              </w:rPr>
            </w:pPr>
          </w:p>
          <w:p w:rsidR="00572E0F" w:rsidRPr="00572E0F" w:rsidRDefault="00572E0F" w:rsidP="00572E0F">
            <w:pPr>
              <w:pStyle w:val="1"/>
              <w:ind w:firstLine="709"/>
              <w:jc w:val="both"/>
              <w:rPr>
                <w:rFonts w:ascii="Times New Roman" w:hAnsi="Times New Roman"/>
                <w:sz w:val="24"/>
                <w:szCs w:val="24"/>
                <w:lang w:val="ru-RU" w:eastAsia="ru-RU"/>
              </w:rPr>
            </w:pPr>
            <w:r w:rsidRPr="00572E0F">
              <w:rPr>
                <w:rFonts w:ascii="Times New Roman" w:hAnsi="Times New Roman"/>
                <w:sz w:val="24"/>
                <w:szCs w:val="24"/>
                <w:lang w:val="ru-RU" w:eastAsia="ru-RU"/>
              </w:rPr>
              <w:t>Основным способом термической переработки ТКО на сегодня является их прямое сжигание (известны также технологии, основу которых составляют процессы газификации, пиролиза, сжигания в шлаковом расплаве и т.д., в том числе с использованием плазматронов). В настоящее время в мире эксплуатируется более 2 тыс. установок, сжигающих ТКО на механических колосниковых решетках, около 200 топок для термической переработки отходов в кипящем слое, примерно</w:t>
            </w:r>
          </w:p>
          <w:p w:rsidR="00572E0F" w:rsidRPr="00572E0F" w:rsidRDefault="00572E0F" w:rsidP="00572E0F">
            <w:pPr>
              <w:pStyle w:val="1"/>
              <w:ind w:firstLine="709"/>
              <w:jc w:val="both"/>
              <w:rPr>
                <w:rFonts w:ascii="Times New Roman" w:hAnsi="Times New Roman"/>
                <w:sz w:val="24"/>
                <w:szCs w:val="24"/>
                <w:lang w:val="ru-RU" w:eastAsia="ru-RU"/>
              </w:rPr>
            </w:pPr>
            <w:r w:rsidRPr="00572E0F">
              <w:rPr>
                <w:rFonts w:ascii="Times New Roman" w:hAnsi="Times New Roman"/>
                <w:sz w:val="24"/>
                <w:szCs w:val="24"/>
                <w:lang w:val="ru-RU" w:eastAsia="ru-RU"/>
              </w:rPr>
              <w:t>20 барабанных печей, где сжигают ТКО, а также единичные установки с использованием пиролиза и газификации.</w:t>
            </w:r>
          </w:p>
          <w:p w:rsidR="00572E0F" w:rsidRPr="00572E0F" w:rsidRDefault="00572E0F" w:rsidP="00572E0F">
            <w:pPr>
              <w:pStyle w:val="1"/>
              <w:ind w:firstLine="709"/>
              <w:jc w:val="both"/>
              <w:rPr>
                <w:rFonts w:ascii="Times New Roman" w:hAnsi="Times New Roman"/>
                <w:sz w:val="24"/>
                <w:szCs w:val="24"/>
                <w:lang w:val="ru-RU" w:eastAsia="ru-RU"/>
              </w:rPr>
            </w:pPr>
            <w:r w:rsidRPr="00572E0F">
              <w:rPr>
                <w:rFonts w:ascii="Times New Roman" w:hAnsi="Times New Roman"/>
                <w:sz w:val="24"/>
                <w:szCs w:val="24"/>
                <w:lang w:val="ru-RU" w:eastAsia="ru-RU"/>
              </w:rPr>
              <w:t>Основной проблемой, возникающей при термической переработке отходов, является образование большого количества топочных газов, которые могут содержать токсичные вещества. В связи с этим обязательно должна быть установлена многоступенчатая система очистки дымовых газов.</w:t>
            </w:r>
          </w:p>
          <w:p w:rsidR="00572E0F" w:rsidRPr="00572E0F" w:rsidRDefault="00572E0F" w:rsidP="00572E0F">
            <w:pPr>
              <w:pStyle w:val="1"/>
              <w:ind w:firstLine="709"/>
              <w:jc w:val="both"/>
              <w:rPr>
                <w:rFonts w:ascii="Times New Roman" w:hAnsi="Times New Roman"/>
                <w:sz w:val="24"/>
                <w:szCs w:val="24"/>
                <w:lang w:val="ru-RU" w:eastAsia="ru-RU"/>
              </w:rPr>
            </w:pPr>
            <w:r w:rsidRPr="00572E0F">
              <w:rPr>
                <w:rFonts w:ascii="Times New Roman" w:hAnsi="Times New Roman"/>
                <w:sz w:val="24"/>
                <w:szCs w:val="24"/>
                <w:lang w:val="ru-RU" w:eastAsia="ru-RU"/>
              </w:rPr>
              <w:t>В Татарстане планируется строительство мусоросжигательной ТЭС мощностью 55 МВт к 2022 году. Она будет способна утилизировать до 550 тыс. тонн отходов в год, и производить 381 млн кВт*ч электроэнергии в год. В настоящее время в Европе за счет термической утилизации отходов вырабатывается более 28 млрд кВт*ч электроэнергии и порядка 70 млрд кВт*ч тепловой энергии. В США суммарная электрическая мощность установок, сжигающих ТКО, составляет</w:t>
            </w:r>
          </w:p>
          <w:p w:rsidR="00572E0F" w:rsidRPr="00572E0F" w:rsidRDefault="00572E0F" w:rsidP="00572E0F">
            <w:pPr>
              <w:pStyle w:val="1"/>
              <w:ind w:firstLine="709"/>
              <w:jc w:val="both"/>
              <w:rPr>
                <w:rFonts w:ascii="Times New Roman" w:hAnsi="Times New Roman"/>
                <w:sz w:val="24"/>
                <w:szCs w:val="24"/>
                <w:lang w:val="ru-RU" w:eastAsia="ru-RU"/>
              </w:rPr>
            </w:pPr>
            <w:r w:rsidRPr="00572E0F">
              <w:rPr>
                <w:rFonts w:ascii="Times New Roman" w:hAnsi="Times New Roman"/>
                <w:sz w:val="24"/>
                <w:szCs w:val="24"/>
                <w:lang w:val="ru-RU" w:eastAsia="ru-RU"/>
              </w:rPr>
              <w:t>2 700 МВт. При этом следует отметить, что помимо энергообеспечения путем термической переработки отходов решается важная социальная проблема – очистка крупных городов от ТКО.</w:t>
            </w:r>
          </w:p>
          <w:p w:rsidR="00631AA6" w:rsidRPr="00D423B2" w:rsidRDefault="00572E0F" w:rsidP="00572E0F">
            <w:pPr>
              <w:pStyle w:val="1"/>
              <w:ind w:firstLine="709"/>
              <w:jc w:val="both"/>
              <w:rPr>
                <w:rFonts w:cs="Calibri"/>
                <w:sz w:val="24"/>
                <w:szCs w:val="24"/>
                <w:lang w:val="ru-RU" w:eastAsia="ru-RU"/>
              </w:rPr>
            </w:pPr>
            <w:r w:rsidRPr="00572E0F">
              <w:rPr>
                <w:rFonts w:ascii="Times New Roman" w:hAnsi="Times New Roman"/>
                <w:sz w:val="24"/>
                <w:szCs w:val="24"/>
                <w:lang w:val="ru-RU" w:eastAsia="ru-RU"/>
              </w:rPr>
              <w:t>Из новых термических процессов, апробированных в укрупненном масштабе, весьма перспективны процессы, связанные с газификацией отходов, так как сжигание газа является наиболее экологически чистым способом сжигания, не требующим сложной очистки отходящих газов.</w:t>
            </w:r>
          </w:p>
          <w:p w:rsidR="00CF3D0C" w:rsidRDefault="00CF3D0C" w:rsidP="00631AA6">
            <w:pPr>
              <w:pStyle w:val="1"/>
              <w:ind w:firstLine="709"/>
              <w:rPr>
                <w:rFonts w:ascii="Times New Roman" w:hAnsi="Times New Roman"/>
                <w:sz w:val="24"/>
                <w:szCs w:val="24"/>
                <w:lang w:val="ru-RU" w:eastAsia="ru-RU"/>
              </w:rPr>
            </w:pPr>
          </w:p>
          <w:p w:rsidR="00631AA6" w:rsidRPr="00D423B2" w:rsidRDefault="00631AA6" w:rsidP="00631AA6">
            <w:pPr>
              <w:pStyle w:val="1"/>
              <w:ind w:firstLine="709"/>
              <w:rPr>
                <w:rFonts w:ascii="Times New Roman" w:hAnsi="Times New Roman"/>
                <w:sz w:val="24"/>
                <w:szCs w:val="24"/>
                <w:lang w:val="ru-RU" w:eastAsia="ru-RU"/>
              </w:rPr>
            </w:pPr>
            <w:r w:rsidRPr="00D423B2">
              <w:rPr>
                <w:rFonts w:ascii="Times New Roman" w:hAnsi="Times New Roman"/>
                <w:sz w:val="24"/>
                <w:szCs w:val="24"/>
                <w:lang w:val="ru-RU" w:eastAsia="ru-RU"/>
              </w:rPr>
              <w:t>4.4.4. Малая гидроэнергетика</w:t>
            </w:r>
          </w:p>
          <w:p w:rsidR="00F31CC1" w:rsidRDefault="00F31CC1" w:rsidP="00631AA6">
            <w:pPr>
              <w:pStyle w:val="1"/>
              <w:ind w:firstLine="709"/>
              <w:jc w:val="both"/>
              <w:rPr>
                <w:rFonts w:ascii="Times New Roman" w:hAnsi="Times New Roman"/>
                <w:sz w:val="24"/>
                <w:szCs w:val="24"/>
                <w:lang w:val="ru-RU" w:eastAsia="ru-RU"/>
              </w:rPr>
            </w:pP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В Российской Федерации действуют более 300 малых ГЭС общей мощностью около 1 300 МВт.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Экономический гидропотенциал малых ГЭС в первой и второй ценовых зонах объединенной энергетической системы (далее – ОЭС) России составляет 37,5 ГВт. Сегодня малые ГЭС обеспечивают порядка 0,3 процента генерации в стране.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ГЭС различны по конструктивным решениям и техническому уровню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от управляемых вручную до полностью автоматизированных, работающих без дежурного персонала.</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Малые ГЭС обеспечивают энергоснабжение отдельных потребителей, изолированных от энергосистемы, но большая их часть подключена к местным энергосистемам.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К классу малых ГЭС относятся ГЭС мощностью от 50 – 100 кВт (микро-ГЭС) и до 5000 кВт (малая ГЭС).</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Для создания таких мощностей возможны технические решения, принципиально отличные от традиционных, разработанных для более крупных ГЭС, в том числе:</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строительство бесплотинных водозаборов;</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создание водохранилищ, затопление которых не превышает максимально паводочного уровня;</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внерусловое расположение зданий гидроэлектростанций;</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использование энергии естественных перепадов водотока.</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В Республике Татарстан в настоящее время эксплуатируется одна малая ГЭС ООО «УПТЖ для ППД» – Карабашская ГЭС (ПАО «Татнефть») с установленной мощностью 300 кВт. Вырабатываемая электроэнергия малой ГЭС потребляется на нужды двух водоподъемов Карабашских водоочистных сооружений. Данный объект введен в эксплуатацию в 1999 году. В настоящее время прорабатывается вопрос его модернизации. Ожидаемый уровень выработки электроэнергии после замены оборудования малой ГЭС увеличится в среднем с 966 тыс. кВт*ч/год до 2 130 тыс. кВт*ч/год.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В целом на территории Республики Татарстан ввиду малых мощностей створов возможно строительство ГЭС мощностью, не превышающей 5000 кВт.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С учетом существующего в настоящее время размещения объектов генерации электроэнергии и электросетевого хозяйства наиболее перспективным является развитие малой гидроэнергетики в следующих районах Республики Татарстан: Спасский район, Алексеевский район,Верхнеуслонский район, Камско-Устьинский район, Рыбно-Слободский район и других.</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 В рамках выполненного анализа архивных данных по оценке гидроэнергетического потенциала малых и средних рек Республики Татарстан</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АО «ВНИИГ им. Б.Е.Веденеева» было выявлено около 40 перспективных створов с суммарной располагаемой расчетной мощностью ГЭС более 12 200 кВт.</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Наибольшим потенциалом обладают створы на реках Ик (около 2,4 МВт и</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1,5 МВт), Свияга (600 кВт), Шешма (720 кВт и 600 кВт). Помимо этих створов, на указанных реках, а также на реках Степной Зай, Мелля и Иганя были определены каскады малой ГЭС различной мощности от 15 до 500 кВт.</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Ряд створов в диапазоне мощности от 10 до 500 кВт были выявлены на реках Иж, Сюнь, Казанка, Беденьга и других.  </w:t>
            </w:r>
          </w:p>
          <w:p w:rsidR="00BB07C0" w:rsidRPr="00BB07C0"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 xml:space="preserve">Перспективными для энергетического использования являются водохранилища на реках Мелля, Иганя, Беденьга, предназначенные для мелиорации. </w:t>
            </w:r>
          </w:p>
          <w:p w:rsidR="00631AA6" w:rsidRPr="00D423B2" w:rsidRDefault="00BB07C0" w:rsidP="00BB07C0">
            <w:pPr>
              <w:pStyle w:val="1"/>
              <w:ind w:firstLine="709"/>
              <w:jc w:val="both"/>
              <w:rPr>
                <w:rFonts w:ascii="Times New Roman" w:hAnsi="Times New Roman"/>
                <w:sz w:val="24"/>
                <w:szCs w:val="24"/>
                <w:lang w:val="ru-RU" w:eastAsia="ru-RU"/>
              </w:rPr>
            </w:pPr>
            <w:r w:rsidRPr="00BB07C0">
              <w:rPr>
                <w:rFonts w:ascii="Times New Roman" w:hAnsi="Times New Roman"/>
                <w:sz w:val="24"/>
                <w:szCs w:val="24"/>
                <w:lang w:val="ru-RU" w:eastAsia="ru-RU"/>
              </w:rPr>
              <w:t>При планировании строительства малых ГЭС необходимо проведение дальнейшего анализа и актуализации имеющихся данных по гидроэнергетическому потенциалу водотоков малых и средних рек республики с последующим расчетом основных экономических показателей и экономической эффективности ГЭС.</w:t>
            </w:r>
          </w:p>
          <w:p w:rsidR="00631AA6" w:rsidRPr="00D423B2" w:rsidRDefault="00631AA6" w:rsidP="00631AA6">
            <w:pPr>
              <w:pStyle w:val="1"/>
              <w:ind w:firstLine="709"/>
              <w:jc w:val="both"/>
              <w:rPr>
                <w:rFonts w:ascii="Times New Roman" w:hAnsi="Times New Roman"/>
                <w:sz w:val="24"/>
                <w:szCs w:val="24"/>
                <w:lang w:val="ru-RU" w:eastAsia="ru-RU"/>
              </w:rPr>
            </w:pPr>
          </w:p>
          <w:p w:rsidR="00631AA6" w:rsidRPr="00D423B2" w:rsidRDefault="00631AA6" w:rsidP="00631AA6">
            <w:pPr>
              <w:pStyle w:val="1"/>
              <w:ind w:firstLine="709"/>
              <w:jc w:val="both"/>
              <w:rPr>
                <w:rFonts w:ascii="Times New Roman" w:hAnsi="Times New Roman"/>
                <w:sz w:val="24"/>
                <w:szCs w:val="24"/>
                <w:lang w:val="ru-RU" w:eastAsia="ru-RU"/>
              </w:rPr>
            </w:pPr>
            <w:r w:rsidRPr="00D423B2">
              <w:rPr>
                <w:rFonts w:ascii="Times New Roman" w:hAnsi="Times New Roman"/>
                <w:sz w:val="24"/>
                <w:szCs w:val="24"/>
                <w:lang w:val="ru-RU" w:eastAsia="ru-RU"/>
              </w:rPr>
              <w:t>4.4.5. Биоэнергетика</w:t>
            </w:r>
          </w:p>
          <w:p w:rsidR="00631AA6" w:rsidRPr="00D423B2" w:rsidRDefault="00631AA6" w:rsidP="00631AA6">
            <w:pPr>
              <w:pStyle w:val="1"/>
              <w:ind w:firstLine="709"/>
              <w:jc w:val="both"/>
              <w:rPr>
                <w:rFonts w:ascii="Times New Roman" w:hAnsi="Times New Roman"/>
                <w:sz w:val="24"/>
                <w:szCs w:val="24"/>
                <w:lang w:val="ru-RU" w:eastAsia="ru-RU"/>
              </w:rPr>
            </w:pPr>
            <w:r w:rsidRPr="00D423B2">
              <w:rPr>
                <w:rFonts w:ascii="Times New Roman" w:hAnsi="Times New Roman"/>
                <w:sz w:val="24"/>
                <w:szCs w:val="24"/>
                <w:lang w:val="ru-RU" w:eastAsia="ru-RU"/>
              </w:rPr>
              <w:t xml:space="preserve">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Биомасса – термин, применяемый для обозначения совокупности живой и неживой, растительной и животной материи на нашей планете. В это понятие также входят органические остатки, отходы: навоз, выбросы мясных и молочных комбинатов, гнилые овощи, остатки сельскохозяйственных культур на полях, органические промышленные и бытовые отходы, отходы лесного хозяйства, скотобоен, пивоварен, зерноперерабатывающих, текстильных, бумажных заводов и т.д.</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Получение энергии из биомассы (древесины, древесных отходов, соломы, навоза, сельскохозяйственных отходов, органической части твердых бытовых отходов) является отраслью, которая может динамично развиваться в Татарстане.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В Татарстане возможно строительство тепловых станций мощностью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0,5 – 10,0 МВт, использующих в качестве топлива отходы лесной и деревообрабатывающей промышленности.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Для использования сухой биомассы наиболее эффективны термохимические технологии (прямое сжигание, газификация, пиролиз и т.п.), для влажной</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биомассы – биохимические технологии переработки с получением биогаза (анаэробное разложение органического сырья) или жидкого биотоплива (процессы сбраживания).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Газификация древесных отходов обеспечивает получение топливного газа, основу которого составляют окись углерода (СО), водород (Н2) и азот (N2) и который может быть использован в качестве газообразного топлива в котельных, газовых турбинах и двигателях внутреннего сгорания.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Значительным преимуществом биогазовых установок является то, что они одновременно играют роль очистных сооружений, снижающих бактериальное и химическое загрязнение почвы, воды и воздуха. По сравнению с малыми ГЭС, ветро- и гелиоэнергоустановками, которые являются пассивно чистыми (используют экологически чистые источники энергии), биогазовые установки – активно чистые, то есть устраняют экологическую опасность продуктов, применяемых в качестве источника первичной энергии.</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На территории муниципальных районов Республики Татарстан с развитым животноводством целесообразна переработка навоза и птичьего помета с производством биогаза и биоудобрений.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 xml:space="preserve">В целом из биомассы ежегодно возможно вырабатывать более 50 млн куб. метров биогаза (27 – 37 млн куб. метров метана), 416 тыс. тонн твердого и 303 тыс. куб. метров жидкого биоудобрения. </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Переработка навоза и помета решает проблему его складирования, снижает риск загрязнения почв, позволяет обеспечивать газом некоторые предприятия агропромышленного комплекса и производить доступные для местных хозяйств высококачественные биоудобрения.</w:t>
            </w:r>
          </w:p>
          <w:p w:rsidR="00957F7D" w:rsidRPr="00957F7D"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В Республике Татарстан также рассматривается выработка энергии из свалочного газа. ПАО «Татнефть» при поддержке Министерства экологии и природных ресурсов Республики Татарстан прорабатывается строительство станции активной дегазации на полигоне твердых бытовых отходов с электростанцией, которая будет производить электроэнергию из свалочного газа.</w:t>
            </w:r>
          </w:p>
          <w:p w:rsidR="00631AA6" w:rsidRPr="00D423B2" w:rsidRDefault="00957F7D" w:rsidP="00957F7D">
            <w:pPr>
              <w:pStyle w:val="1"/>
              <w:ind w:firstLine="709"/>
              <w:jc w:val="both"/>
              <w:rPr>
                <w:rFonts w:ascii="Times New Roman" w:hAnsi="Times New Roman"/>
                <w:sz w:val="24"/>
                <w:szCs w:val="24"/>
                <w:lang w:val="ru-RU" w:eastAsia="ru-RU"/>
              </w:rPr>
            </w:pPr>
            <w:r w:rsidRPr="00957F7D">
              <w:rPr>
                <w:rFonts w:ascii="Times New Roman" w:hAnsi="Times New Roman"/>
                <w:sz w:val="24"/>
                <w:szCs w:val="24"/>
                <w:lang w:val="ru-RU" w:eastAsia="ru-RU"/>
              </w:rPr>
              <w:t>Кроме того, ПАО «Татнефть» в рамках научно-исследовательских и опытно-конструкторских работ ведутся работы по созданию установки по выработке электрической энергии на базе двигателя внутреннего сгорания (ДВС), использующего в качестве топлива древесную щепу, мощностью 30 кВт.</w:t>
            </w:r>
          </w:p>
          <w:p w:rsidR="00631AA6" w:rsidRPr="00D423B2" w:rsidRDefault="00631AA6" w:rsidP="00631AA6">
            <w:pPr>
              <w:pStyle w:val="1"/>
              <w:ind w:firstLine="709"/>
              <w:jc w:val="both"/>
              <w:rPr>
                <w:rFonts w:ascii="Times New Roman" w:hAnsi="Times New Roman"/>
                <w:sz w:val="24"/>
                <w:szCs w:val="24"/>
                <w:lang w:val="ru-RU" w:eastAsia="ru-RU"/>
              </w:rPr>
            </w:pPr>
          </w:p>
          <w:p w:rsidR="00A82E5E" w:rsidRDefault="00A82E5E" w:rsidP="00631AA6">
            <w:pPr>
              <w:pStyle w:val="1"/>
              <w:ind w:firstLine="709"/>
              <w:jc w:val="both"/>
              <w:rPr>
                <w:rFonts w:ascii="Times New Roman" w:hAnsi="Times New Roman"/>
                <w:sz w:val="24"/>
                <w:szCs w:val="24"/>
                <w:lang w:val="ru-RU" w:eastAsia="ru-RU"/>
              </w:rPr>
            </w:pPr>
          </w:p>
          <w:p w:rsidR="00631AA6" w:rsidRPr="00D423B2" w:rsidRDefault="00631AA6" w:rsidP="00631AA6">
            <w:pPr>
              <w:pStyle w:val="1"/>
              <w:ind w:firstLine="709"/>
              <w:jc w:val="both"/>
              <w:rPr>
                <w:rFonts w:ascii="Times New Roman" w:hAnsi="Times New Roman"/>
                <w:sz w:val="24"/>
                <w:szCs w:val="24"/>
                <w:lang w:val="ru-RU" w:eastAsia="ru-RU"/>
              </w:rPr>
            </w:pPr>
            <w:r w:rsidRPr="00D423B2">
              <w:rPr>
                <w:rFonts w:ascii="Times New Roman" w:hAnsi="Times New Roman"/>
                <w:sz w:val="24"/>
                <w:szCs w:val="24"/>
                <w:lang w:val="ru-RU" w:eastAsia="ru-RU"/>
              </w:rPr>
              <w:t>4.4.6. Водородная энергетика</w:t>
            </w:r>
          </w:p>
          <w:p w:rsidR="00631AA6" w:rsidRPr="00D423B2" w:rsidRDefault="00631AA6" w:rsidP="00631AA6">
            <w:pPr>
              <w:pStyle w:val="1"/>
              <w:ind w:firstLine="709"/>
              <w:jc w:val="both"/>
              <w:rPr>
                <w:rFonts w:ascii="Times New Roman" w:hAnsi="Times New Roman"/>
                <w:sz w:val="24"/>
                <w:szCs w:val="24"/>
                <w:lang w:val="ru-RU" w:eastAsia="ru-RU"/>
              </w:rPr>
            </w:pP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Водород (Н2) – наиболее экологически чистое топливо с неограниченными запасами в природе. Водород (Н2) входит в состав 90 процентов компонентов, имеющихся в окружающей среде, и более, чем в треть компонентов на поверхности земли. </w:t>
            </w: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Для эффективного развития водородной энергетики в Татарстане необходимо внедрять технологии химического связывания и выделения водорода, разрабатывать системы хранения водорода для крупнотоннажной транспортировки. </w:t>
            </w: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Накопители энергии на основе использования водорода могут стать эффективным решением в целом для развития ВИЭ. Технология превращения электроэнергии в топливо и возможность транспортировки системы водород-носитель существующими видами позволят развить новые формы производства и использования электроэнергии в Татарстане. При этом целевой финансовый показатель капитальных вложений в систему аккумуляции водорода не </w:t>
            </w: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более 4 000 долларов США за тонну водорода.</w:t>
            </w: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Перспективным является применение водорода на автотранспорте с помощью топливных элементов, особенно с применением протонных обменных мембран (Proton exchange membrane). Первые автомобили с топливными элементами уже продемонстрировали фирмы Toyota, Honda, Volkswagen, BMW, Nissan, Hyundai. </w:t>
            </w:r>
          </w:p>
          <w:p w:rsidR="001100F1" w:rsidRPr="001100F1"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Подавляющая доля потенциального рынка водорода сориентирована на потребление легковыми автомобилями. При использовании водорода на автомобильном транспорте одни компании будут производить товар (водород) и доводить его до нужной степени очистки (для низкотемпературных топливных ячеек на полимерных электролитах PEFC требуется водород высокой чистоты), другие будут заниматься его транспортировкой на станции, третьи будут отпускать товар конечным потребителям. Наиболее близкая перспектива использования водорода в транспортных средствах связана с использованием полимерных мембран нового поколения типа Hyflon. </w:t>
            </w:r>
          </w:p>
          <w:p w:rsidR="00631AA6" w:rsidRPr="00D423B2" w:rsidRDefault="001100F1" w:rsidP="001100F1">
            <w:pPr>
              <w:pStyle w:val="1"/>
              <w:ind w:firstLine="709"/>
              <w:jc w:val="both"/>
              <w:rPr>
                <w:rFonts w:ascii="Times New Roman" w:hAnsi="Times New Roman"/>
                <w:sz w:val="24"/>
                <w:szCs w:val="24"/>
                <w:lang w:val="ru-RU" w:eastAsia="ru-RU"/>
              </w:rPr>
            </w:pPr>
            <w:r w:rsidRPr="001100F1">
              <w:rPr>
                <w:rFonts w:ascii="Times New Roman" w:hAnsi="Times New Roman"/>
                <w:sz w:val="24"/>
                <w:szCs w:val="24"/>
                <w:lang w:val="ru-RU" w:eastAsia="ru-RU"/>
              </w:rPr>
              <w:t xml:space="preserve">Актуальны разработка и производство стационарных установок риформинга природного газа (метана), очистки водорода от окиси углерода (CO) и углекислого газа (CO2), получения электроэнергии окислением водорода кислородом из воздуха на твердо-оксидных топливных элементах SOFC. При разработке качественных и надежных систем они будут востребованы в качестве вспомогательных энергетических установок на транспортных средствах.  </w:t>
            </w:r>
            <w:r w:rsidR="00631AA6" w:rsidRPr="00D423B2">
              <w:rPr>
                <w:rFonts w:ascii="Times New Roman" w:hAnsi="Times New Roman"/>
                <w:sz w:val="24"/>
                <w:szCs w:val="24"/>
                <w:lang w:val="ru-RU" w:eastAsia="ru-RU"/>
              </w:rPr>
              <w:t xml:space="preserve">  </w:t>
            </w:r>
          </w:p>
          <w:p w:rsidR="00631AA6" w:rsidRPr="00D423B2" w:rsidRDefault="00631AA6" w:rsidP="00631AA6">
            <w:pPr>
              <w:pStyle w:val="1"/>
              <w:ind w:firstLine="709"/>
              <w:jc w:val="both"/>
              <w:rPr>
                <w:rFonts w:ascii="Times New Roman" w:hAnsi="Times New Roman"/>
                <w:sz w:val="24"/>
                <w:szCs w:val="24"/>
                <w:lang w:val="ru-RU" w:eastAsia="ru-RU"/>
              </w:rPr>
            </w:pPr>
          </w:p>
          <w:p w:rsidR="00631AA6" w:rsidRPr="00D423B2" w:rsidRDefault="00631AA6" w:rsidP="00631AA6">
            <w:pPr>
              <w:pStyle w:val="1"/>
              <w:ind w:firstLine="709"/>
              <w:jc w:val="both"/>
              <w:rPr>
                <w:rFonts w:ascii="Times New Roman" w:hAnsi="Times New Roman"/>
                <w:sz w:val="24"/>
                <w:szCs w:val="24"/>
                <w:lang w:val="ru-RU" w:eastAsia="ru-RU"/>
              </w:rPr>
            </w:pPr>
            <w:r w:rsidRPr="00D423B2">
              <w:rPr>
                <w:rFonts w:ascii="Times New Roman" w:hAnsi="Times New Roman"/>
                <w:sz w:val="24"/>
                <w:szCs w:val="24"/>
                <w:lang w:val="ru-RU" w:eastAsia="ru-RU"/>
              </w:rPr>
              <w:t>4.4.7. Теплогенерация на основе возобновляемых источников энергии (ВИЭ)</w:t>
            </w:r>
          </w:p>
          <w:p w:rsidR="00631AA6" w:rsidRPr="00D423B2" w:rsidRDefault="00631AA6" w:rsidP="00631AA6">
            <w:pPr>
              <w:pStyle w:val="1"/>
              <w:ind w:firstLine="709"/>
              <w:jc w:val="both"/>
              <w:rPr>
                <w:rFonts w:ascii="Times New Roman" w:hAnsi="Times New Roman"/>
                <w:sz w:val="24"/>
                <w:szCs w:val="24"/>
                <w:lang w:val="ru-RU" w:eastAsia="ru-RU"/>
              </w:rPr>
            </w:pP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Солнечные коллекторы.</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 xml:space="preserve">Солнечные коллекторы являются техническими устройствами, предназначенными для прямого преобразования солнечного излучения в тепловую энергию. </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 xml:space="preserve">Плоские солнечные коллекторы являются простейшим и наиболее дешевым способом использования солнечной энергии. Плоский солнечный коллектор представляет собой теплоизолированный с тыльной стороны и боков ящик, внутри которого помещена тепловоспринимающая металлическая или пластиковая панель, окрашенная для лучшего поглощения солнечного излучения в темный цвет и закрытая сверху светопрозрачным ограждением (один или два слоя стекла или прозрачного стойкого под воздействием ультрафиолета пластика). Панель является теплообменником, по каналам которого прокачивается нагреваемая вода. Вода направляется в теплоизолированный бак гидравлически соединенный с солнечным коллектором. </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Внедрение солнечных коллекторов позволит сократить затраты на строительство и эксплуатацию сетей теплоснабжения.</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Тепловые насосы.</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 xml:space="preserve">Одним из направлений альтернативной энергетики является внедрение тепловых насосов вместо автономных котельных, работающих на твердом, жидком топливе и электроэнергии. Источником низкопотенциальной теплоты для тепловых насосов могут служить грунтовая вода, наружный воздух, тепло грунта, низкопотенциальные вторичные энергоресурсы. </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 xml:space="preserve">В Республике Татарстан с учетом наличия значительного ресурса низкопотенциальной теплоты в отраслях экономики внедрение тепловых насосов является перспективным направлением. </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Одними из основных препятствий на пути внедрения теплонасосной техники являются:</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широкое распространение в Российской Федерации тепловых электрических станций, топливная эффективность которых при выработке электрической энергии не позволяет реализовать высокоэффективную эксплуатацию тепловых насосов с электрическим приводом;</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отсутствие на рынке тепловых насосов с механическим приводом, работающих, например, на газовом топливе;</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 xml:space="preserve">достаточно высокая цена тепловых насосов, обуславливающая большой срок их окупаемости. </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Внедрение тепловых насосов возможно при поддержке государства путем регулирования тарифов и ввода региональными энергосистемами дифференцированной платы за потребленную тепловыми насосами электроэнергию, что может позволить теплонасосной технике прочно занять место электрических и угольных котлов на рынке теплопроизводящего оборудования.</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Накопители энергии.</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Внедрение промышленных накопителей энергии является одним из основных трендов развития энергетики в мире. Основная причина – масштабное развитие ВИЭ и электротранспорта. Накопители энергии при использовании возобновляемых источников энергии способны сглаживать неравномерности выработки электроэнергии, то есть нивелировать основной недостаток ВИЭ – непостоянство выработки электроэнергии, зависящее от метеорологических условий, и разорвать во времени зависимость генерации энергии от ее потребления.  Потенциальной сферой применения накопителей энергии также является сглаживание пиков нагрузки сети.</w:t>
            </w:r>
          </w:p>
          <w:p w:rsidR="00662C0F" w:rsidRPr="00662C0F" w:rsidRDefault="00662C0F" w:rsidP="00662C0F">
            <w:pPr>
              <w:pStyle w:val="1"/>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Блок накопителей, запасаясь ночью электроэнергией по низкому тарифу, выдает ее в сеть уже по дневному тарифу, в несколько раз превышающему ночной тариф. Именно возможность быстрого регулирования мощности, способность реализовывать разницу в дневных и ночных тарифах определяют экономическую эффективность накопителей для крупных промышленных потребителей электроэнергии.</w:t>
            </w:r>
          </w:p>
          <w:p w:rsidR="00662C0F" w:rsidRDefault="00662C0F" w:rsidP="00662C0F">
            <w:pPr>
              <w:pStyle w:val="1"/>
              <w:widowControl w:val="0"/>
              <w:ind w:firstLine="709"/>
              <w:jc w:val="both"/>
              <w:rPr>
                <w:rFonts w:ascii="Times New Roman" w:hAnsi="Times New Roman"/>
                <w:sz w:val="24"/>
                <w:szCs w:val="24"/>
                <w:lang w:val="ru-RU" w:eastAsia="ru-RU"/>
              </w:rPr>
            </w:pPr>
            <w:r w:rsidRPr="00662C0F">
              <w:rPr>
                <w:rFonts w:ascii="Times New Roman" w:hAnsi="Times New Roman"/>
                <w:sz w:val="24"/>
                <w:szCs w:val="24"/>
                <w:lang w:val="ru-RU" w:eastAsia="ru-RU"/>
              </w:rPr>
              <w:t>В таблице 19 представлены основные направления использования и потенциальные потребители систем накопления электроэнергии.</w:t>
            </w:r>
          </w:p>
          <w:p w:rsidR="00662C0F" w:rsidRDefault="00662C0F" w:rsidP="00662C0F">
            <w:pPr>
              <w:pStyle w:val="1"/>
              <w:widowControl w:val="0"/>
              <w:ind w:firstLine="709"/>
              <w:jc w:val="right"/>
              <w:rPr>
                <w:rFonts w:ascii="Times New Roman" w:hAnsi="Times New Roman"/>
                <w:sz w:val="24"/>
                <w:szCs w:val="24"/>
                <w:lang w:val="ru-RU" w:eastAsia="ru-RU"/>
              </w:rPr>
            </w:pPr>
          </w:p>
          <w:p w:rsidR="00631AA6" w:rsidRPr="00D423B2" w:rsidRDefault="00631AA6" w:rsidP="00662C0F">
            <w:pPr>
              <w:pStyle w:val="1"/>
              <w:widowControl w:val="0"/>
              <w:ind w:firstLine="709"/>
              <w:jc w:val="right"/>
              <w:rPr>
                <w:rFonts w:ascii="Times New Roman" w:hAnsi="Times New Roman"/>
                <w:sz w:val="24"/>
                <w:szCs w:val="24"/>
                <w:lang w:val="ru-RU" w:eastAsia="ru-RU"/>
              </w:rPr>
            </w:pPr>
            <w:r w:rsidRPr="00D423B2">
              <w:rPr>
                <w:rFonts w:ascii="Times New Roman" w:hAnsi="Times New Roman"/>
                <w:sz w:val="24"/>
                <w:szCs w:val="24"/>
                <w:lang w:val="ru-RU" w:eastAsia="ru-RU"/>
              </w:rPr>
              <w:t xml:space="preserve">Таблица 19 </w:t>
            </w:r>
          </w:p>
          <w:p w:rsidR="00631AA6" w:rsidRPr="00D423B2" w:rsidRDefault="00631AA6" w:rsidP="00631AA6">
            <w:pPr>
              <w:pStyle w:val="1"/>
              <w:ind w:firstLine="709"/>
              <w:jc w:val="center"/>
              <w:rPr>
                <w:rFonts w:ascii="Times New Roman" w:hAnsi="Times New Roman"/>
                <w:sz w:val="24"/>
                <w:szCs w:val="24"/>
                <w:lang w:val="ru-RU" w:eastAsia="ru-RU"/>
              </w:rPr>
            </w:pPr>
          </w:p>
          <w:p w:rsidR="00631AA6" w:rsidRDefault="00631AA6" w:rsidP="00631AA6">
            <w:pPr>
              <w:pStyle w:val="1"/>
              <w:ind w:firstLine="709"/>
              <w:jc w:val="center"/>
              <w:rPr>
                <w:rFonts w:ascii="Times New Roman" w:hAnsi="Times New Roman"/>
                <w:sz w:val="24"/>
                <w:szCs w:val="24"/>
                <w:lang w:val="ru-RU" w:eastAsia="ru-RU"/>
              </w:rPr>
            </w:pPr>
            <w:r w:rsidRPr="00D423B2">
              <w:rPr>
                <w:rFonts w:ascii="Times New Roman" w:hAnsi="Times New Roman"/>
                <w:sz w:val="24"/>
                <w:szCs w:val="24"/>
                <w:lang w:val="ru-RU" w:eastAsia="ru-RU"/>
              </w:rPr>
              <w:t xml:space="preserve">Потенциальные области использования и потребители накопителей энергии </w:t>
            </w:r>
          </w:p>
          <w:p w:rsidR="000D60F4" w:rsidRDefault="000D60F4" w:rsidP="001C74E7">
            <w:pPr>
              <w:pStyle w:val="1"/>
              <w:widowControl w:val="0"/>
              <w:ind w:firstLine="709"/>
              <w:jc w:val="both"/>
              <w:rPr>
                <w:rFonts w:ascii="Times New Roman" w:hAnsi="Times New Roman"/>
                <w:sz w:val="24"/>
                <w:szCs w:val="24"/>
                <w:lang w:val="ru-RU"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4"/>
              <w:gridCol w:w="2257"/>
              <w:gridCol w:w="1178"/>
            </w:tblGrid>
            <w:tr w:rsidR="000D60F4" w:rsidRPr="000D60F4" w:rsidTr="0086028E">
              <w:trPr>
                <w:trHeight w:val="22"/>
              </w:trPr>
              <w:tc>
                <w:tcPr>
                  <w:tcW w:w="1444"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Область применения</w:t>
                  </w:r>
                </w:p>
              </w:tc>
              <w:tc>
                <w:tcPr>
                  <w:tcW w:w="2257"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Применение</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Возможные потребители услуг</w:t>
                  </w:r>
                </w:p>
              </w:tc>
            </w:tr>
            <w:tr w:rsidR="000D60F4" w:rsidRPr="000D60F4" w:rsidTr="0086028E">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Замещение инвестиций</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Замещение дорогостоящих инвестиций в сетевом хозяйстве решениями на основе накопителей</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sz w:val="16"/>
                      <w:szCs w:val="16"/>
                    </w:rPr>
                    <w:t>Сетевые компании</w:t>
                  </w:r>
                </w:p>
              </w:tc>
            </w:tr>
            <w:tr w:rsidR="000D60F4" w:rsidRPr="000D60F4" w:rsidTr="0086028E">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Регулировка частоты в электросетях</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Регулирование частоты в сетях, повышение качества электроснабжения</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СО ЕЭС, сетевые компании</w:t>
                  </w:r>
                </w:p>
              </w:tc>
            </w:tr>
            <w:tr w:rsidR="000D60F4" w:rsidRPr="000D60F4" w:rsidTr="0086028E">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Повышение надежности</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Повышение надежности электроснабжения за счет применения накопителей</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sz w:val="16"/>
                      <w:szCs w:val="16"/>
                    </w:rPr>
                    <w:t>Сетевые компании</w:t>
                  </w:r>
                </w:p>
              </w:tc>
            </w:tr>
            <w:tr w:rsidR="000D60F4" w:rsidRPr="000D60F4" w:rsidTr="0086028E">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Оптимизация процесса производства энергии</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Оптимизация загрузки электростанции, экономия топлива</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Генераторы напряжения</w:t>
                  </w:r>
                </w:p>
              </w:tc>
            </w:tr>
            <w:tr w:rsidR="000D60F4" w:rsidRPr="000D60F4" w:rsidTr="0086028E">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Интеграция с ВИЭ</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Создание системы накопителей энергии и ветро- или солнечных генераторов</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bdr w:val="none" w:sz="0" w:space="0" w:color="auto" w:frame="1"/>
                    </w:rPr>
                  </w:pPr>
                  <w:r w:rsidRPr="000D60F4">
                    <w:rPr>
                      <w:rFonts w:ascii="Times New Roman" w:hAnsi="Times New Roman" w:cs="Times New Roman"/>
                      <w:sz w:val="16"/>
                      <w:szCs w:val="16"/>
                      <w:bdr w:val="none" w:sz="0" w:space="0" w:color="auto" w:frame="1"/>
                    </w:rPr>
                    <w:t>Генераторы напряжения</w:t>
                  </w:r>
                </w:p>
                <w:p w:rsidR="000D60F4" w:rsidRPr="000D60F4" w:rsidRDefault="000D60F4" w:rsidP="000D60F4">
                  <w:pPr>
                    <w:spacing w:before="60" w:after="60"/>
                    <w:jc w:val="center"/>
                    <w:textAlignment w:val="baseline"/>
                    <w:rPr>
                      <w:rFonts w:ascii="Times New Roman" w:hAnsi="Times New Roman" w:cs="Times New Roman"/>
                      <w:sz w:val="16"/>
                      <w:szCs w:val="16"/>
                    </w:rPr>
                  </w:pPr>
                </w:p>
              </w:tc>
            </w:tr>
            <w:tr w:rsidR="000D60F4" w:rsidRPr="000D60F4" w:rsidTr="0086028E">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Снижение стоимости электроэнергии для потребителей, качество энергоснабжения</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Обеспечение надежного энергоснабжения, снижение затрат на электроэнергию за счет суточного колебания стоимости энергии.</w:t>
                  </w:r>
                </w:p>
              </w:tc>
              <w:tc>
                <w:tcPr>
                  <w:tcW w:w="1178" w:type="dxa"/>
                  <w:shd w:val="clear" w:color="auto" w:fill="auto"/>
                  <w:vAlign w:val="center"/>
                </w:tcPr>
                <w:p w:rsidR="000D60F4" w:rsidRPr="000D60F4" w:rsidRDefault="000D60F4" w:rsidP="000D60F4">
                  <w:pPr>
                    <w:spacing w:before="60" w:after="60"/>
                    <w:jc w:val="center"/>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Индустриальные потребители</w:t>
                  </w:r>
                </w:p>
              </w:tc>
            </w:tr>
            <w:tr w:rsidR="000D60F4" w:rsidRPr="000D60F4" w:rsidTr="0086028E">
              <w:trPr>
                <w:trHeight w:val="22"/>
              </w:trPr>
              <w:tc>
                <w:tcPr>
                  <w:tcW w:w="1444" w:type="dxa"/>
                  <w:shd w:val="clear" w:color="auto" w:fill="auto"/>
                  <w:vAlign w:val="center"/>
                </w:tcPr>
                <w:p w:rsidR="000D60F4" w:rsidRPr="000D60F4" w:rsidRDefault="000D60F4" w:rsidP="000D60F4">
                  <w:pPr>
                    <w:spacing w:before="60" w:after="60"/>
                    <w:jc w:val="both"/>
                    <w:rPr>
                      <w:rFonts w:ascii="Times New Roman" w:hAnsi="Times New Roman" w:cs="Times New Roman"/>
                      <w:sz w:val="16"/>
                      <w:szCs w:val="16"/>
                    </w:rPr>
                  </w:pPr>
                  <w:r w:rsidRPr="000D60F4">
                    <w:rPr>
                      <w:rFonts w:ascii="Times New Roman" w:hAnsi="Times New Roman" w:cs="Times New Roman"/>
                      <w:bCs/>
                      <w:sz w:val="16"/>
                      <w:szCs w:val="16"/>
                      <w:bdr w:val="none" w:sz="0" w:space="0" w:color="auto" w:frame="1"/>
                    </w:rPr>
                    <w:t>Экономия электроэнергии, снижение затрат</w:t>
                  </w:r>
                </w:p>
              </w:tc>
              <w:tc>
                <w:tcPr>
                  <w:tcW w:w="2257" w:type="dxa"/>
                  <w:shd w:val="clear" w:color="auto" w:fill="auto"/>
                  <w:vAlign w:val="center"/>
                </w:tcPr>
                <w:p w:rsidR="000D60F4" w:rsidRPr="000D60F4" w:rsidRDefault="000D60F4" w:rsidP="000D60F4">
                  <w:pPr>
                    <w:spacing w:before="60" w:after="60"/>
                    <w:jc w:val="both"/>
                    <w:textAlignment w:val="baseline"/>
                    <w:rPr>
                      <w:rFonts w:ascii="Times New Roman" w:hAnsi="Times New Roman" w:cs="Times New Roman"/>
                      <w:sz w:val="16"/>
                      <w:szCs w:val="16"/>
                    </w:rPr>
                  </w:pPr>
                  <w:r w:rsidRPr="000D60F4">
                    <w:rPr>
                      <w:rFonts w:ascii="Times New Roman" w:hAnsi="Times New Roman" w:cs="Times New Roman"/>
                      <w:sz w:val="16"/>
                      <w:szCs w:val="16"/>
                      <w:bdr w:val="none" w:sz="0" w:space="0" w:color="auto" w:frame="1"/>
                    </w:rPr>
                    <w:t>Внедрение систем рекуперации энергии торможения на объектах ж/д хозяйства</w:t>
                  </w:r>
                </w:p>
              </w:tc>
              <w:tc>
                <w:tcPr>
                  <w:tcW w:w="1178" w:type="dxa"/>
                  <w:shd w:val="clear" w:color="auto" w:fill="auto"/>
                  <w:vAlign w:val="center"/>
                </w:tcPr>
                <w:p w:rsidR="000D60F4" w:rsidRPr="000D60F4" w:rsidRDefault="000D60F4" w:rsidP="000D60F4">
                  <w:pPr>
                    <w:spacing w:before="60" w:after="60"/>
                    <w:jc w:val="center"/>
                    <w:rPr>
                      <w:rFonts w:ascii="Times New Roman" w:hAnsi="Times New Roman" w:cs="Times New Roman"/>
                      <w:sz w:val="16"/>
                      <w:szCs w:val="16"/>
                    </w:rPr>
                  </w:pPr>
                  <w:r w:rsidRPr="000D60F4">
                    <w:rPr>
                      <w:rFonts w:ascii="Times New Roman" w:hAnsi="Times New Roman" w:cs="Times New Roman"/>
                      <w:sz w:val="16"/>
                      <w:szCs w:val="16"/>
                      <w:shd w:val="clear" w:color="auto" w:fill="FFFFFF"/>
                    </w:rPr>
                    <w:t>ОАО «РЖД», Метрополитен</w:t>
                  </w:r>
                </w:p>
              </w:tc>
            </w:tr>
          </w:tbl>
          <w:p w:rsidR="000D60F4" w:rsidRDefault="000D60F4" w:rsidP="001C74E7">
            <w:pPr>
              <w:pStyle w:val="1"/>
              <w:widowControl w:val="0"/>
              <w:ind w:firstLine="709"/>
              <w:jc w:val="both"/>
              <w:rPr>
                <w:rFonts w:ascii="Times New Roman" w:hAnsi="Times New Roman"/>
                <w:sz w:val="24"/>
                <w:szCs w:val="24"/>
                <w:lang w:val="ru-RU" w:eastAsia="ru-RU"/>
              </w:rPr>
            </w:pP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Внедрение промышленных накопителей энергии в Республике Татарстан будет способствовать:</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повышению системной эффективности электроэнергетики и сдерживанию роста цен на электроэнергию за счет применения систем хранения электроэнергии;</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повышению эффективности электроснабжения потребителей с высокими требованиями к доступности, надежности, мобильности и качеству электроэнергии за счет применения систем хранения электроэнергии;</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уменьшению энергетических и экономических потерь за счет снижения перетоков в сети;</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обеспечению повышения надежности электросети;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обеспечению бесперебойного питания особо важных объектов, собственных нужд электростанций и подстанций;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сглаживанию колебаний мощности, стабилизации работы электрических систем;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уменьшению размеров резервных источников питания с длительным сроком работы без перезарядки;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сохранению природного топлива и улучшению экологической обстановки благодаря более широкому внедрению ВИЭ.</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Накопители энергии можно разделить на электрохимические и физические. Первые преобразуют электрическую энергию в химическую энергию веществ, вторые – в механическую энергию.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К электрохимическим накопителям энергии относятся емкостные накопители, молекулярные накопители энергии, индуктивные накопители, аккумуляторные батареи, сверхпроводящие индуктивные накопители. Все типы электрохимических накопителей подключаются к сети через преобразователи (инверторы).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К физическим накопителям электроэнергии в основном относятся два вида комплексов: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 xml:space="preserve">кинетические накопители энергии (маховики); </w:t>
            </w:r>
          </w:p>
          <w:p w:rsidR="0045032F" w:rsidRPr="0045032F"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гравитационные накопители энергии.</w:t>
            </w:r>
          </w:p>
          <w:p w:rsidR="001C74E7" w:rsidRPr="00D423B2" w:rsidRDefault="0045032F" w:rsidP="0045032F">
            <w:pPr>
              <w:pStyle w:val="1"/>
              <w:widowControl w:val="0"/>
              <w:ind w:firstLine="709"/>
              <w:jc w:val="both"/>
              <w:rPr>
                <w:rFonts w:ascii="Times New Roman" w:hAnsi="Times New Roman"/>
                <w:sz w:val="24"/>
                <w:szCs w:val="24"/>
                <w:lang w:val="ru-RU" w:eastAsia="ru-RU"/>
              </w:rPr>
            </w:pPr>
            <w:r w:rsidRPr="0045032F">
              <w:rPr>
                <w:rFonts w:ascii="Times New Roman" w:hAnsi="Times New Roman"/>
                <w:sz w:val="24"/>
                <w:szCs w:val="24"/>
                <w:lang w:val="ru-RU" w:eastAsia="ru-RU"/>
              </w:rPr>
              <w:t>На рисунке 36 представлен научно-технический задел в Российской Федерации по разработке и внедрению различных типов накопителей.</w:t>
            </w:r>
          </w:p>
          <w:p w:rsidR="00631AA6" w:rsidRDefault="00631AA6" w:rsidP="00631AA6">
            <w:pPr>
              <w:pStyle w:val="1"/>
              <w:ind w:firstLine="709"/>
              <w:jc w:val="both"/>
              <w:rPr>
                <w:rFonts w:ascii="Times New Roman" w:hAnsi="Times New Roman"/>
                <w:sz w:val="24"/>
                <w:szCs w:val="24"/>
                <w:lang w:val="ru-RU" w:eastAsia="ru-RU"/>
              </w:rPr>
            </w:pPr>
          </w:p>
          <w:p w:rsidR="00CA189F" w:rsidRDefault="00CA189F" w:rsidP="00631AA6">
            <w:pPr>
              <w:pStyle w:val="1"/>
              <w:ind w:firstLine="709"/>
              <w:jc w:val="both"/>
              <w:rPr>
                <w:rFonts w:ascii="Times New Roman" w:hAnsi="Times New Roman"/>
                <w:sz w:val="24"/>
                <w:szCs w:val="24"/>
                <w:lang w:val="ru-RU" w:eastAsia="ru-RU"/>
              </w:rPr>
            </w:pPr>
          </w:p>
          <w:p w:rsidR="00CA189F" w:rsidRDefault="00CA189F" w:rsidP="00631AA6">
            <w:pPr>
              <w:pStyle w:val="1"/>
              <w:ind w:firstLine="709"/>
              <w:jc w:val="both"/>
              <w:rPr>
                <w:rFonts w:ascii="Times New Roman" w:hAnsi="Times New Roman"/>
                <w:sz w:val="24"/>
                <w:szCs w:val="24"/>
                <w:lang w:val="ru-RU" w:eastAsia="ru-RU"/>
              </w:rPr>
            </w:pPr>
          </w:p>
          <w:p w:rsidR="00CA189F" w:rsidRDefault="00CA189F" w:rsidP="00631AA6">
            <w:pPr>
              <w:pStyle w:val="1"/>
              <w:ind w:firstLine="709"/>
              <w:jc w:val="both"/>
              <w:rPr>
                <w:rFonts w:ascii="Times New Roman" w:hAnsi="Times New Roman"/>
                <w:sz w:val="24"/>
                <w:szCs w:val="24"/>
                <w:lang w:val="ru-RU" w:eastAsia="ru-RU"/>
              </w:rPr>
            </w:pPr>
          </w:p>
          <w:p w:rsidR="00CA189F" w:rsidRDefault="00CA189F" w:rsidP="00631AA6">
            <w:pPr>
              <w:pStyle w:val="1"/>
              <w:ind w:firstLine="709"/>
              <w:jc w:val="both"/>
              <w:rPr>
                <w:rFonts w:ascii="Times New Roman" w:hAnsi="Times New Roman"/>
                <w:sz w:val="24"/>
                <w:szCs w:val="24"/>
                <w:lang w:val="ru-RU" w:eastAsia="ru-RU"/>
              </w:rPr>
            </w:pPr>
          </w:p>
          <w:p w:rsidR="00CA189F" w:rsidRDefault="00CA189F" w:rsidP="00631AA6">
            <w:pPr>
              <w:pStyle w:val="1"/>
              <w:ind w:firstLine="709"/>
              <w:jc w:val="both"/>
              <w:rPr>
                <w:rFonts w:ascii="Times New Roman" w:hAnsi="Times New Roman"/>
                <w:sz w:val="24"/>
                <w:szCs w:val="24"/>
                <w:lang w:val="ru-RU" w:eastAsia="ru-RU"/>
              </w:rPr>
            </w:pPr>
          </w:p>
          <w:p w:rsidR="00CA189F" w:rsidRDefault="00CA189F" w:rsidP="00CA189F">
            <w:pPr>
              <w:pStyle w:val="1"/>
              <w:jc w:val="both"/>
              <w:rPr>
                <w:rFonts w:ascii="Times New Roman" w:hAnsi="Times New Roman"/>
                <w:sz w:val="24"/>
                <w:szCs w:val="24"/>
                <w:lang w:val="ru-RU" w:eastAsia="ru-RU"/>
              </w:rPr>
            </w:pPr>
          </w:p>
          <w:p w:rsidR="00CA189F" w:rsidRPr="00D423B2" w:rsidRDefault="00CA189F" w:rsidP="00631AA6">
            <w:pPr>
              <w:pStyle w:val="1"/>
              <w:ind w:firstLine="709"/>
              <w:jc w:val="both"/>
              <w:rPr>
                <w:rFonts w:ascii="Times New Roman" w:hAnsi="Times New Roman"/>
                <w:sz w:val="24"/>
                <w:szCs w:val="24"/>
                <w:lang w:val="ru-RU" w:eastAsia="ru-RU"/>
              </w:rPr>
            </w:pPr>
            <w:r>
              <w:rPr>
                <w:rFonts w:ascii="Times New Roman" w:hAnsi="Times New Roman"/>
                <w:noProof/>
                <w:sz w:val="24"/>
                <w:szCs w:val="24"/>
                <w:lang w:val="ru-RU" w:eastAsia="ru-RU"/>
              </w:rPr>
              <w:drawing>
                <wp:inline distT="0" distB="0" distL="0" distR="0" wp14:anchorId="2D8A87A6">
                  <wp:extent cx="2560320" cy="1670685"/>
                  <wp:effectExtent l="0" t="0" r="0" b="571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60320" cy="1670685"/>
                          </a:xfrm>
                          <a:prstGeom prst="rect">
                            <a:avLst/>
                          </a:prstGeom>
                          <a:noFill/>
                        </pic:spPr>
                      </pic:pic>
                    </a:graphicData>
                  </a:graphic>
                </wp:inline>
              </w:drawing>
            </w:r>
          </w:p>
          <w:p w:rsidR="006A645C" w:rsidRPr="006A645C" w:rsidRDefault="006A645C" w:rsidP="006A645C">
            <w:pPr>
              <w:tabs>
                <w:tab w:val="left" w:pos="1515"/>
              </w:tabs>
              <w:jc w:val="center"/>
              <w:rPr>
                <w:rFonts w:ascii="Times New Roman" w:hAnsi="Times New Roman" w:cs="Times New Roman"/>
                <w:sz w:val="16"/>
                <w:szCs w:val="16"/>
              </w:rPr>
            </w:pPr>
            <w:r w:rsidRPr="006A645C">
              <w:rPr>
                <w:rFonts w:ascii="Times New Roman" w:hAnsi="Times New Roman" w:cs="Times New Roman"/>
                <w:sz w:val="16"/>
                <w:szCs w:val="16"/>
              </w:rPr>
              <w:t xml:space="preserve">Рис. 36.  Научно-технический задел в Российской Федерации </w:t>
            </w:r>
            <w:r w:rsidRPr="006A645C">
              <w:rPr>
                <w:rFonts w:ascii="Times New Roman" w:hAnsi="Times New Roman" w:cs="Times New Roman"/>
                <w:sz w:val="16"/>
                <w:szCs w:val="16"/>
              </w:rPr>
              <w:br/>
              <w:t>по разработке и внедрению различных типов накопителей</w:t>
            </w:r>
          </w:p>
          <w:p w:rsidR="00137E5C" w:rsidRPr="00D423B2" w:rsidRDefault="00137E5C" w:rsidP="00EC1E1E">
            <w:pPr>
              <w:tabs>
                <w:tab w:val="left" w:pos="1515"/>
              </w:tabs>
              <w:jc w:val="center"/>
              <w:rPr>
                <w:rFonts w:ascii="Times New Roman" w:hAnsi="Times New Roman" w:cs="Times New Roman"/>
                <w:sz w:val="16"/>
                <w:szCs w:val="16"/>
              </w:rPr>
            </w:pP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Текущие возможности России в области накопления – чуть больше 2 ГВт, а всего мира – 175,8 ГВт. Почти весь этот объем приходится на гидроаккумулирующие электростанции (ГАЭС). Самая большая в Российской Федерации Загорская ГАЭС имеет мощность 1,2 ГВт. Такие накопители превращают электричество в потенциальную энергию воды и вырабатывают его обратно с потерями лишь 25 процентов. Однако их недостаток вполне очевиден: водохранилища требуют сложного рельефа с большим перепадом высот и обширной площадью.</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 xml:space="preserve">Наиболее перспективными для внедрения в Республике Татарстан являются накопители на основе литий-ионных батарей и различных конструкций гравитационных накопителей. Для широкого внедрения в Республике Татарстан систем промышленного накопления энергии необходима разработка и внедрение следующих технологий: </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система управления распределенными накопителями электрической энергии для целей управления нагрузкой;</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 xml:space="preserve">долговечный накопитель электроэнергии с низкой стоимостью энергоемкости: мощность 10 – 100 кВт, энергоемкость не менее 40 – 800 кВт∙ч, КПД не менее </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 xml:space="preserve">95 процентов); ресурс – не менее 3 500 циклов (при разрядке на 70 процентов за цикл), срок службы – не менее 10 лет; стоимость энергоемкости не </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 xml:space="preserve">более 300 долларов США за кВтч. </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накопитель электроэнергии для локального регулирования сетевых параметров: мощность не менее 10 кВт; время зарядки/разрядки не более/не менее</w:t>
            </w:r>
          </w:p>
          <w:p w:rsidR="005F6029" w:rsidRPr="005F6029"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 xml:space="preserve">5 минут; скорость набора мощности от нулевой до номинальной не более 50 м/с; КПД не менее 98 процентов; ресурс не менее 1 млн циклов; стоимость мощности не более 600 долларов США за киловатт; </w:t>
            </w:r>
          </w:p>
          <w:p w:rsidR="00137E5C" w:rsidRPr="00D423B2" w:rsidRDefault="005F6029" w:rsidP="005F6029">
            <w:pPr>
              <w:widowControl w:val="0"/>
              <w:ind w:firstLine="709"/>
              <w:jc w:val="both"/>
              <w:rPr>
                <w:rFonts w:ascii="Times New Roman" w:eastAsia="Times New Roman" w:hAnsi="Times New Roman" w:cs="Times New Roman"/>
                <w:sz w:val="24"/>
                <w:szCs w:val="24"/>
                <w:lang w:eastAsia="ru-RU"/>
              </w:rPr>
            </w:pPr>
            <w:r w:rsidRPr="005F6029">
              <w:rPr>
                <w:rFonts w:ascii="Times New Roman" w:eastAsia="Times New Roman" w:hAnsi="Times New Roman" w:cs="Times New Roman"/>
                <w:sz w:val="24"/>
                <w:szCs w:val="24"/>
                <w:lang w:eastAsia="ru-RU"/>
              </w:rPr>
              <w:t>система управления агрегированными распределенными накопителями электроэнергии, в том числе электромобилями: точность определения доступной мощности на загрузку/разгрузку 2 процента от совокупной мощности агрегированных накопителей, глубина прогноза доступной мощности и энергоемкости агрегированных накопителей не менее 1 часа, достоверность прогноза доступной мощности и энергоемкости агрегированных накопителей не менее 90 процентов, возможность управления не менее чем 100 тыс. единиц агрегированного оборудования.</w:t>
            </w:r>
            <w:r w:rsidR="00137E5C" w:rsidRPr="00D423B2">
              <w:rPr>
                <w:rFonts w:ascii="Times New Roman" w:eastAsia="Times New Roman" w:hAnsi="Times New Roman" w:cs="Times New Roman"/>
                <w:sz w:val="24"/>
                <w:szCs w:val="24"/>
                <w:lang w:eastAsia="ru-RU"/>
              </w:rPr>
              <w:t xml:space="preserve"> </w:t>
            </w:r>
          </w:p>
          <w:p w:rsidR="00137E5C" w:rsidRDefault="00137E5C" w:rsidP="00137E5C">
            <w:pPr>
              <w:widowControl w:val="0"/>
              <w:ind w:firstLine="709"/>
              <w:jc w:val="both"/>
              <w:rPr>
                <w:rFonts w:ascii="Calibri" w:eastAsia="Times New Roman" w:hAnsi="Calibri" w:cs="Calibri"/>
                <w:sz w:val="24"/>
                <w:szCs w:val="24"/>
                <w:lang w:eastAsia="ru-RU"/>
              </w:rPr>
            </w:pPr>
          </w:p>
          <w:p w:rsidR="001E5FD5" w:rsidRPr="00D423B2" w:rsidRDefault="001E5FD5" w:rsidP="00137E5C">
            <w:pPr>
              <w:widowControl w:val="0"/>
              <w:ind w:firstLine="709"/>
              <w:jc w:val="both"/>
              <w:rPr>
                <w:rFonts w:ascii="Calibri" w:eastAsia="Times New Roman" w:hAnsi="Calibri" w:cs="Calibri"/>
                <w:sz w:val="24"/>
                <w:szCs w:val="24"/>
                <w:lang w:eastAsia="ru-RU"/>
              </w:rPr>
            </w:pPr>
          </w:p>
          <w:p w:rsidR="00137E5C" w:rsidRPr="00D423B2" w:rsidRDefault="005F6029" w:rsidP="00A052B4">
            <w:pPr>
              <w:widowControl w:val="0"/>
              <w:autoSpaceDE w:val="0"/>
              <w:autoSpaceDN w:val="0"/>
              <w:jc w:val="center"/>
              <w:outlineLvl w:val="1"/>
              <w:rPr>
                <w:rFonts w:ascii="Times New Roman" w:eastAsia="Times New Roman" w:hAnsi="Times New Roman" w:cs="Times New Roman"/>
                <w:b/>
                <w:sz w:val="24"/>
                <w:szCs w:val="24"/>
                <w:lang w:eastAsia="ru-RU"/>
              </w:rPr>
            </w:pPr>
            <w:r w:rsidRPr="005F6029">
              <w:rPr>
                <w:rFonts w:ascii="Times New Roman" w:eastAsia="Times New Roman" w:hAnsi="Times New Roman" w:cs="Times New Roman"/>
                <w:b/>
                <w:sz w:val="24"/>
                <w:szCs w:val="24"/>
                <w:lang w:eastAsia="ru-RU"/>
              </w:rPr>
              <w:t>5. Ожидаемые результаты и способ реализации Стратегии</w:t>
            </w:r>
          </w:p>
          <w:p w:rsidR="001C3F51" w:rsidRDefault="001C3F51" w:rsidP="00137E5C">
            <w:pPr>
              <w:autoSpaceDE w:val="0"/>
              <w:autoSpaceDN w:val="0"/>
              <w:adjustRightInd w:val="0"/>
              <w:ind w:firstLine="709"/>
              <w:jc w:val="both"/>
              <w:rPr>
                <w:rFonts w:ascii="Times New Roman" w:eastAsia="Times New Roman" w:hAnsi="Times New Roman" w:cs="Times New Roman"/>
                <w:sz w:val="24"/>
                <w:szCs w:val="24"/>
                <w:lang w:eastAsia="ru-RU"/>
              </w:rPr>
            </w:pP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При разработке целевых индикаторов развития отраслей топливно-энергетического комплекса Республики Татарстан учитывались стратегические приоритеты, определенные как на уровне Российской Федерации, так и на уровне Республики Татарстан:</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обеспечение топливно-энергетическим комплексом Республики Татарстан потребностей экономики и населения республики в энергоресурсах и углеводородном сырье;</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глубокая переработка углеводородного сырья, внедрение современных технологий добычи и транспортировки;</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обеспечение кластерного развития промышленности на базе крупнейших предприятий топливно-энергетического комплекса;</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сохранение позиции Республики Татарстан в качестве одного из основных нефтедобывающих регионов Российской Федерации в долгосрочной перспективе.</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Целевые индикаторы развития топливно-энергетического комплекса Республики Татарстан в отраслевом аспекте более полно представлены в соответствующих разделах настоящей Стратегии.</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Основные ожидаемые результаты реализации в Республике Татарстан настоящей Стратегии:</w:t>
            </w:r>
          </w:p>
          <w:p w:rsid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1E5FD5" w:rsidRDefault="001E5FD5"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1E5FD5" w:rsidRPr="00A052B4" w:rsidRDefault="001E5FD5"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A052B4" w:rsidRPr="00A052B4" w:rsidRDefault="00A052B4" w:rsidP="00A052B4">
            <w:pPr>
              <w:autoSpaceDE w:val="0"/>
              <w:autoSpaceDN w:val="0"/>
              <w:adjustRightInd w:val="0"/>
              <w:ind w:firstLine="709"/>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b/>
                <w:color w:val="000000"/>
                <w:sz w:val="24"/>
                <w:szCs w:val="24"/>
                <w:lang w:eastAsia="ru-RU"/>
              </w:rPr>
              <w:t>Нефтедобыча:</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sz w:val="24"/>
                <w:szCs w:val="24"/>
                <w:lang w:eastAsia="ru-RU"/>
              </w:rPr>
              <w:t>Объем добычи нефти с СВН (р</w:t>
            </w:r>
            <w:r w:rsidRPr="00A052B4">
              <w:rPr>
                <w:rFonts w:ascii="Times New Roman" w:eastAsia="Times New Roman" w:hAnsi="Times New Roman" w:cs="Times New Roman"/>
                <w:color w:val="000000"/>
                <w:sz w:val="24"/>
                <w:szCs w:val="24"/>
                <w:lang w:eastAsia="ru-RU"/>
              </w:rPr>
              <w:t>ост</w:t>
            </w:r>
            <w:r w:rsidRPr="00A052B4">
              <w:rPr>
                <w:rFonts w:ascii="Times New Roman" w:eastAsia="Times New Roman" w:hAnsi="Times New Roman" w:cs="Times New Roman"/>
                <w:sz w:val="24"/>
                <w:szCs w:val="24"/>
                <w:lang w:eastAsia="ru-RU"/>
              </w:rPr>
              <w:t xml:space="preserve"> к 2030 году по сравнению с 2018 годом на 8%):</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2020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39 300 тыс. тонн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2025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42 100 тыс. тонн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color w:val="000000"/>
                <w:sz w:val="24"/>
                <w:szCs w:val="24"/>
                <w:lang w:eastAsia="ru-RU"/>
              </w:rPr>
              <w:t xml:space="preserve">в 2030 году – 39 328 </w:t>
            </w:r>
            <w:r w:rsidRPr="00A052B4">
              <w:rPr>
                <w:rFonts w:ascii="Times New Roman" w:eastAsia="Times New Roman" w:hAnsi="Times New Roman" w:cs="Times New Roman"/>
                <w:sz w:val="24"/>
                <w:szCs w:val="24"/>
                <w:lang w:eastAsia="ru-RU"/>
              </w:rPr>
              <w:t>тыс. тонн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Объем эксплуатационного бурения:</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2018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910,4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2020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1 744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2025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1 551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2030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864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Объем поисково-разведочного бурения:</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2018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30,1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2020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25,9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2025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24,4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в 2030 </w:t>
            </w:r>
            <w:r w:rsidRPr="00A052B4">
              <w:rPr>
                <w:rFonts w:ascii="Times New Roman" w:eastAsia="Times New Roman" w:hAnsi="Times New Roman" w:cs="Times New Roman"/>
                <w:color w:val="000000"/>
                <w:sz w:val="24"/>
                <w:szCs w:val="24"/>
                <w:lang w:eastAsia="ru-RU"/>
              </w:rPr>
              <w:t>году</w:t>
            </w:r>
            <w:r w:rsidRPr="00A052B4">
              <w:rPr>
                <w:rFonts w:ascii="Times New Roman" w:eastAsia="Times New Roman" w:hAnsi="Times New Roman" w:cs="Times New Roman"/>
                <w:sz w:val="24"/>
                <w:szCs w:val="24"/>
                <w:lang w:eastAsia="ru-RU"/>
              </w:rPr>
              <w:t xml:space="preserve"> – 18 тыс. метров в год.</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A052B4" w:rsidRPr="00A052B4" w:rsidRDefault="00A052B4" w:rsidP="00A052B4">
            <w:pPr>
              <w:autoSpaceDE w:val="0"/>
              <w:autoSpaceDN w:val="0"/>
              <w:adjustRightInd w:val="0"/>
              <w:ind w:left="7" w:firstLine="702"/>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b/>
                <w:color w:val="000000"/>
                <w:sz w:val="24"/>
                <w:szCs w:val="24"/>
                <w:lang w:eastAsia="ru-RU"/>
              </w:rPr>
              <w:t>Нефтепереработка:</w:t>
            </w:r>
          </w:p>
          <w:p w:rsidR="00A052B4" w:rsidRPr="00A052B4" w:rsidRDefault="00A052B4" w:rsidP="00A052B4">
            <w:pPr>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доведение глубины переработки нефти к 2020 году до показателя более</w:t>
            </w:r>
            <w:r w:rsidRPr="00A052B4">
              <w:rPr>
                <w:rFonts w:ascii="Times New Roman" w:eastAsia="Times New Roman" w:hAnsi="Times New Roman" w:cs="Times New Roman"/>
                <w:sz w:val="24"/>
                <w:szCs w:val="24"/>
                <w:lang w:eastAsia="ru-RU"/>
              </w:rPr>
              <w:br/>
              <w:t>95 процентов;</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sz w:val="24"/>
                <w:szCs w:val="24"/>
                <w:lang w:eastAsia="ru-RU"/>
              </w:rPr>
              <w:t xml:space="preserve">увеличение объема перерабатываемой нефти к 2030 году до 24 млн тонн. </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A052B4" w:rsidRPr="00A052B4" w:rsidRDefault="00A052B4" w:rsidP="00A052B4">
            <w:pPr>
              <w:autoSpaceDE w:val="0"/>
              <w:autoSpaceDN w:val="0"/>
              <w:adjustRightInd w:val="0"/>
              <w:ind w:left="7" w:firstLine="702"/>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b/>
                <w:color w:val="000000"/>
                <w:sz w:val="24"/>
                <w:szCs w:val="24"/>
                <w:lang w:eastAsia="ru-RU"/>
              </w:rPr>
              <w:t>Газовая отрасль:</w:t>
            </w:r>
          </w:p>
          <w:p w:rsidR="00A052B4" w:rsidRPr="00A052B4" w:rsidRDefault="00A052B4" w:rsidP="00A052B4">
            <w:pPr>
              <w:autoSpaceDE w:val="0"/>
              <w:autoSpaceDN w:val="0"/>
              <w:adjustRightInd w:val="0"/>
              <w:ind w:left="7" w:firstLine="702"/>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Объем потребления природного газа (рост к 2030 году по сравнению</w:t>
            </w:r>
            <w:r w:rsidRPr="00A052B4">
              <w:rPr>
                <w:rFonts w:ascii="Times New Roman" w:eastAsia="Times New Roman" w:hAnsi="Times New Roman" w:cs="Times New Roman"/>
                <w:color w:val="000000"/>
                <w:sz w:val="24"/>
                <w:szCs w:val="24"/>
                <w:lang w:eastAsia="ru-RU"/>
              </w:rPr>
              <w:br/>
              <w:t>с 2017 годом на 49,4 процента):</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2018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18,083 млрд куб. метров;</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2020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19,500 млрд куб. метров (с учетом потребности ПАО «Татнефть»);</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2025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21,063 млрд куб. метров;</w:t>
            </w:r>
          </w:p>
          <w:p w:rsidR="00A052B4" w:rsidRPr="00A052B4" w:rsidRDefault="00A052B4" w:rsidP="00A052B4">
            <w:pPr>
              <w:autoSpaceDE w:val="0"/>
              <w:autoSpaceDN w:val="0"/>
              <w:adjustRightInd w:val="0"/>
              <w:ind w:left="7"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2030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22,602 млрд куб. метров.</w:t>
            </w:r>
          </w:p>
          <w:p w:rsidR="00A052B4" w:rsidRPr="00A052B4" w:rsidRDefault="00A052B4" w:rsidP="00A052B4">
            <w:pPr>
              <w:autoSpaceDE w:val="0"/>
              <w:autoSpaceDN w:val="0"/>
              <w:adjustRightInd w:val="0"/>
              <w:ind w:left="7"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В том числе объем потребления природного газа в качестве газомоторного топлива (компримированный и сжиженный природный газ):</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2018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35,750 млн куб. метров;</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2020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70,755 млн куб. метров;</w:t>
            </w:r>
          </w:p>
          <w:p w:rsidR="00A052B4" w:rsidRPr="00A052B4" w:rsidRDefault="00A052B4" w:rsidP="00A052B4">
            <w:pPr>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2025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285,000 млн куб. метров;</w:t>
            </w:r>
          </w:p>
          <w:p w:rsidR="00A052B4" w:rsidRPr="00A052B4" w:rsidRDefault="00A052B4" w:rsidP="00A052B4">
            <w:pPr>
              <w:autoSpaceDE w:val="0"/>
              <w:autoSpaceDN w:val="0"/>
              <w:adjustRightInd w:val="0"/>
              <w:ind w:firstLine="702"/>
              <w:jc w:val="both"/>
              <w:rPr>
                <w:rFonts w:ascii="Times New Roman" w:eastAsia="Calibri" w:hAnsi="Times New Roman" w:cs="Times New Roman"/>
                <w:sz w:val="24"/>
                <w:szCs w:val="24"/>
                <w:lang w:eastAsia="ru-RU"/>
              </w:rPr>
            </w:pPr>
            <w:r w:rsidRPr="00A052B4">
              <w:rPr>
                <w:rFonts w:ascii="Times New Roman" w:eastAsia="Calibri" w:hAnsi="Times New Roman" w:cs="Times New Roman"/>
                <w:sz w:val="24"/>
                <w:szCs w:val="24"/>
                <w:lang w:eastAsia="ru-RU"/>
              </w:rPr>
              <w:t xml:space="preserve">в 2030 </w:t>
            </w:r>
            <w:r w:rsidRPr="00A052B4">
              <w:rPr>
                <w:rFonts w:ascii="Times New Roman" w:eastAsia="Times New Roman" w:hAnsi="Times New Roman" w:cs="Times New Roman"/>
                <w:color w:val="000000"/>
                <w:sz w:val="24"/>
                <w:szCs w:val="24"/>
                <w:lang w:eastAsia="ru-RU"/>
              </w:rPr>
              <w:t>году</w:t>
            </w:r>
            <w:r w:rsidRPr="00A052B4">
              <w:rPr>
                <w:rFonts w:ascii="Times New Roman" w:eastAsia="Calibri" w:hAnsi="Times New Roman" w:cs="Times New Roman"/>
                <w:sz w:val="24"/>
                <w:szCs w:val="24"/>
                <w:lang w:eastAsia="ru-RU"/>
              </w:rPr>
              <w:t xml:space="preserve"> – 335,000 млн куб. метров.</w:t>
            </w:r>
          </w:p>
          <w:p w:rsidR="00A052B4" w:rsidRPr="00A052B4" w:rsidRDefault="00A052B4" w:rsidP="00A052B4">
            <w:pPr>
              <w:autoSpaceDE w:val="0"/>
              <w:autoSpaceDN w:val="0"/>
              <w:adjustRightInd w:val="0"/>
              <w:ind w:firstLine="702"/>
              <w:jc w:val="both"/>
              <w:rPr>
                <w:rFonts w:ascii="Times New Roman" w:eastAsia="Calibri" w:hAnsi="Times New Roman" w:cs="Times New Roman"/>
                <w:sz w:val="24"/>
                <w:szCs w:val="24"/>
                <w:lang w:eastAsia="ru-RU"/>
              </w:rPr>
            </w:pPr>
          </w:p>
          <w:p w:rsidR="00A052B4" w:rsidRPr="00A052B4" w:rsidRDefault="00A052B4" w:rsidP="00A052B4">
            <w:pPr>
              <w:autoSpaceDE w:val="0"/>
              <w:autoSpaceDN w:val="0"/>
              <w:adjustRightInd w:val="0"/>
              <w:ind w:firstLine="709"/>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b/>
                <w:color w:val="000000"/>
                <w:sz w:val="24"/>
                <w:szCs w:val="24"/>
                <w:lang w:eastAsia="ru-RU"/>
              </w:rPr>
              <w:t>Электроэнергетика:</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 xml:space="preserve">Объем производства электрической энергии (рост к 2030 году по сравнению </w:t>
            </w:r>
            <w:r w:rsidRPr="00A052B4">
              <w:rPr>
                <w:rFonts w:ascii="Times New Roman" w:eastAsia="Times New Roman" w:hAnsi="Times New Roman" w:cs="Times New Roman"/>
                <w:color w:val="000000"/>
                <w:sz w:val="24"/>
                <w:szCs w:val="24"/>
                <w:lang w:eastAsia="ru-RU"/>
              </w:rPr>
              <w:br/>
              <w:t>с 2015 годом на 51,3 процента):</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2020 году – 28 001 млн кВт*ч;</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2025 году – 29 261 млн кВт*ч;</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2030 году – 30 578 млн кВт*ч.</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p>
          <w:p w:rsidR="00A052B4" w:rsidRPr="00A052B4" w:rsidRDefault="00A052B4" w:rsidP="00A052B4">
            <w:pPr>
              <w:autoSpaceDE w:val="0"/>
              <w:autoSpaceDN w:val="0"/>
              <w:adjustRightInd w:val="0"/>
              <w:ind w:firstLine="709"/>
              <w:jc w:val="both"/>
              <w:rPr>
                <w:rFonts w:ascii="Times New Roman" w:eastAsia="Times New Roman" w:hAnsi="Times New Roman" w:cs="Times New Roman"/>
                <w:b/>
                <w:color w:val="000000"/>
                <w:sz w:val="24"/>
                <w:szCs w:val="24"/>
                <w:lang w:eastAsia="ru-RU"/>
              </w:rPr>
            </w:pPr>
            <w:r w:rsidRPr="00A052B4">
              <w:rPr>
                <w:rFonts w:ascii="Times New Roman" w:eastAsia="Times New Roman" w:hAnsi="Times New Roman" w:cs="Times New Roman"/>
                <w:b/>
                <w:color w:val="000000"/>
                <w:sz w:val="24"/>
                <w:szCs w:val="24"/>
                <w:lang w:eastAsia="ru-RU"/>
              </w:rPr>
              <w:t>Производство тепловой энергии:</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Объем производства тепловой энергии (рост к 2030 году по сравнению</w:t>
            </w:r>
            <w:r w:rsidRPr="00A052B4">
              <w:rPr>
                <w:rFonts w:ascii="Times New Roman" w:eastAsia="Times New Roman" w:hAnsi="Times New Roman" w:cs="Times New Roman"/>
                <w:color w:val="000000"/>
                <w:sz w:val="24"/>
                <w:szCs w:val="24"/>
                <w:lang w:eastAsia="ru-RU"/>
              </w:rPr>
              <w:br/>
              <w:t xml:space="preserve">с 2015 годом на 11,2 процента): </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2020 году – 49,8 млн Гкал;</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2025 году – 50,8 млн Гкал;</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в 2030 году – 51,8 млн Гкал.</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b/>
                <w:color w:val="000000"/>
                <w:sz w:val="24"/>
                <w:szCs w:val="24"/>
                <w:lang w:eastAsia="ru-RU"/>
              </w:rPr>
              <w:t xml:space="preserve">Снижение энергоемкости ВРП в сопоставимых ценах 2007 года </w:t>
            </w:r>
            <w:r w:rsidRPr="00A052B4">
              <w:rPr>
                <w:rFonts w:ascii="Times New Roman" w:eastAsia="Times New Roman" w:hAnsi="Times New Roman" w:cs="Times New Roman"/>
                <w:b/>
                <w:color w:val="000000"/>
                <w:sz w:val="24"/>
                <w:szCs w:val="24"/>
                <w:lang w:eastAsia="ru-RU"/>
              </w:rPr>
              <w:br/>
              <w:t>(к уровню 2007 года):</w:t>
            </w:r>
            <w:r w:rsidRPr="00A052B4">
              <w:rPr>
                <w:rFonts w:ascii="Times New Roman" w:eastAsia="Times New Roman" w:hAnsi="Times New Roman" w:cs="Times New Roman"/>
                <w:color w:val="000000"/>
                <w:sz w:val="24"/>
                <w:szCs w:val="24"/>
                <w:lang w:eastAsia="ru-RU"/>
              </w:rPr>
              <w:t xml:space="preserve"> </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color w:val="000000"/>
                <w:sz w:val="24"/>
                <w:szCs w:val="24"/>
                <w:lang w:eastAsia="ru-RU"/>
              </w:rPr>
            </w:pPr>
            <w:r w:rsidRPr="00A052B4">
              <w:rPr>
                <w:rFonts w:ascii="Times New Roman" w:eastAsia="Times New Roman" w:hAnsi="Times New Roman" w:cs="Times New Roman"/>
                <w:color w:val="000000"/>
                <w:sz w:val="24"/>
                <w:szCs w:val="24"/>
                <w:lang w:eastAsia="ru-RU"/>
              </w:rPr>
              <w:t xml:space="preserve">к 2025 году – на 25,0 процентов; </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r w:rsidRPr="00A052B4">
              <w:rPr>
                <w:rFonts w:ascii="Times New Roman" w:eastAsia="Times New Roman" w:hAnsi="Times New Roman" w:cs="Times New Roman"/>
                <w:color w:val="000000"/>
                <w:sz w:val="24"/>
                <w:szCs w:val="24"/>
                <w:lang w:eastAsia="ru-RU"/>
              </w:rPr>
              <w:t>к 2030 году – на 26,1 процента.</w:t>
            </w:r>
          </w:p>
          <w:p w:rsidR="00A052B4" w:rsidRPr="00A052B4" w:rsidRDefault="00A052B4" w:rsidP="00A052B4">
            <w:pPr>
              <w:autoSpaceDE w:val="0"/>
              <w:autoSpaceDN w:val="0"/>
              <w:adjustRightInd w:val="0"/>
              <w:ind w:firstLine="709"/>
              <w:jc w:val="both"/>
              <w:rPr>
                <w:rFonts w:ascii="Times New Roman" w:eastAsia="Times New Roman" w:hAnsi="Times New Roman" w:cs="Times New Roman"/>
                <w:sz w:val="24"/>
                <w:szCs w:val="24"/>
                <w:lang w:eastAsia="ru-RU"/>
              </w:rPr>
            </w:pPr>
          </w:p>
          <w:p w:rsidR="00A052B4" w:rsidRPr="00D423B2" w:rsidRDefault="00A052B4" w:rsidP="001E5FD5">
            <w:pPr>
              <w:autoSpaceDE w:val="0"/>
              <w:autoSpaceDN w:val="0"/>
              <w:adjustRightInd w:val="0"/>
              <w:ind w:firstLine="709"/>
              <w:jc w:val="both"/>
              <w:rPr>
                <w:rFonts w:ascii="Times New Roman" w:hAnsi="Times New Roman" w:cs="Times New Roman"/>
                <w:sz w:val="16"/>
                <w:szCs w:val="16"/>
              </w:rPr>
            </w:pPr>
            <w:r w:rsidRPr="00A052B4">
              <w:rPr>
                <w:rFonts w:ascii="Times New Roman" w:eastAsia="Times New Roman" w:hAnsi="Times New Roman" w:cs="Times New Roman"/>
                <w:sz w:val="24"/>
                <w:szCs w:val="24"/>
                <w:lang w:eastAsia="ru-RU"/>
              </w:rPr>
              <w:t xml:space="preserve">Настоящая Стратегия является основой для разработки и утверждения </w:t>
            </w:r>
            <w:r w:rsidRPr="00A052B4">
              <w:rPr>
                <w:rFonts w:ascii="Times New Roman" w:eastAsia="Times New Roman" w:hAnsi="Times New Roman" w:cs="Times New Roman"/>
                <w:sz w:val="24"/>
                <w:szCs w:val="24"/>
                <w:lang w:eastAsia="ru-RU"/>
              </w:rPr>
              <w:br/>
              <w:t>в 2020 – 2025 годах предприятиями топливно-энергетического комплекса Республики Татарстан корпоративных стратегий развития до 2030 года.».</w:t>
            </w:r>
          </w:p>
        </w:tc>
      </w:tr>
    </w:tbl>
    <w:p w:rsidR="00EC3F77" w:rsidRPr="00D423B2" w:rsidRDefault="00EC3F77" w:rsidP="001E5FD5">
      <w:pPr>
        <w:jc w:val="right"/>
        <w:rPr>
          <w:rFonts w:ascii="Times New Roman" w:hAnsi="Times New Roman" w:cs="Times New Roman"/>
          <w:sz w:val="28"/>
          <w:szCs w:val="28"/>
        </w:rPr>
      </w:pPr>
      <w:r w:rsidRPr="00D423B2">
        <w:rPr>
          <w:rFonts w:ascii="Times New Roman" w:hAnsi="Times New Roman" w:cs="Times New Roman"/>
          <w:sz w:val="28"/>
          <w:szCs w:val="28"/>
        </w:rPr>
        <w:lastRenderedPageBreak/>
        <w:t>Приложение</w:t>
      </w:r>
      <w:r w:rsidR="00A14CD2" w:rsidRPr="00D423B2">
        <w:rPr>
          <w:rFonts w:ascii="Times New Roman" w:hAnsi="Times New Roman" w:cs="Times New Roman"/>
          <w:sz w:val="28"/>
          <w:szCs w:val="28"/>
        </w:rPr>
        <w:t>:</w:t>
      </w:r>
    </w:p>
    <w:p w:rsidR="009039FF" w:rsidRPr="00086DE8" w:rsidRDefault="009039FF" w:rsidP="009039FF">
      <w:pPr>
        <w:widowControl w:val="0"/>
        <w:autoSpaceDE w:val="0"/>
        <w:autoSpaceDN w:val="0"/>
        <w:spacing w:after="0" w:line="240" w:lineRule="auto"/>
        <w:jc w:val="right"/>
        <w:outlineLvl w:val="3"/>
        <w:rPr>
          <w:rFonts w:ascii="Times New Roman" w:eastAsia="Times New Roman" w:hAnsi="Times New Roman" w:cs="Times New Roman"/>
          <w:sz w:val="28"/>
          <w:szCs w:val="28"/>
          <w:lang w:eastAsia="ru-RU"/>
        </w:rPr>
      </w:pPr>
      <w:r w:rsidRPr="00086DE8">
        <w:rPr>
          <w:rFonts w:ascii="Times New Roman" w:eastAsia="Times New Roman" w:hAnsi="Times New Roman" w:cs="Times New Roman"/>
          <w:sz w:val="28"/>
          <w:szCs w:val="28"/>
          <w:lang w:eastAsia="ru-RU"/>
        </w:rPr>
        <w:t>Таблица</w:t>
      </w:r>
      <w:r w:rsidR="00564A8F" w:rsidRPr="00086DE8">
        <w:rPr>
          <w:rFonts w:ascii="Times New Roman" w:eastAsia="Times New Roman" w:hAnsi="Times New Roman" w:cs="Times New Roman"/>
          <w:sz w:val="28"/>
          <w:szCs w:val="28"/>
          <w:lang w:eastAsia="ru-RU"/>
        </w:rPr>
        <w:t xml:space="preserve"> </w:t>
      </w:r>
      <w:r w:rsidRPr="00086DE8">
        <w:rPr>
          <w:rFonts w:ascii="Times New Roman" w:eastAsia="Times New Roman" w:hAnsi="Times New Roman" w:cs="Times New Roman"/>
          <w:sz w:val="28"/>
          <w:szCs w:val="28"/>
          <w:lang w:eastAsia="ru-RU"/>
        </w:rPr>
        <w:t>6</w:t>
      </w:r>
    </w:p>
    <w:p w:rsidR="009039FF" w:rsidRPr="00086DE8" w:rsidRDefault="009039FF" w:rsidP="009039FF">
      <w:pPr>
        <w:widowControl w:val="0"/>
        <w:autoSpaceDE w:val="0"/>
        <w:autoSpaceDN w:val="0"/>
        <w:spacing w:after="0" w:line="240" w:lineRule="auto"/>
        <w:jc w:val="both"/>
        <w:rPr>
          <w:rFonts w:ascii="Times New Roman" w:eastAsia="Times New Roman" w:hAnsi="Times New Roman" w:cs="Times New Roman"/>
          <w:sz w:val="28"/>
          <w:szCs w:val="28"/>
          <w:lang w:eastAsia="ru-RU"/>
        </w:rPr>
      </w:pPr>
    </w:p>
    <w:p w:rsidR="009039FF" w:rsidRPr="00086DE8" w:rsidRDefault="009039FF" w:rsidP="009039FF">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086DE8">
        <w:rPr>
          <w:rFonts w:ascii="Times New Roman" w:eastAsia="Times New Roman" w:hAnsi="Times New Roman" w:cs="Times New Roman"/>
          <w:sz w:val="28"/>
          <w:szCs w:val="28"/>
          <w:lang w:eastAsia="ru-RU"/>
        </w:rPr>
        <w:t>Объемы прироста запасов, сейсморазведочных работ,</w:t>
      </w:r>
      <w:r w:rsidR="001E5FD5">
        <w:rPr>
          <w:rFonts w:ascii="Times New Roman" w:eastAsia="Times New Roman" w:hAnsi="Times New Roman" w:cs="Times New Roman"/>
          <w:sz w:val="28"/>
          <w:szCs w:val="28"/>
          <w:lang w:eastAsia="ru-RU"/>
        </w:rPr>
        <w:t xml:space="preserve"> </w:t>
      </w:r>
      <w:r w:rsidRPr="00086DE8">
        <w:rPr>
          <w:rFonts w:ascii="Times New Roman" w:eastAsia="Times New Roman" w:hAnsi="Times New Roman" w:cs="Times New Roman"/>
          <w:sz w:val="28"/>
          <w:szCs w:val="28"/>
          <w:lang w:eastAsia="ru-RU"/>
        </w:rPr>
        <w:t>поисково-разведочного бурения</w:t>
      </w:r>
    </w:p>
    <w:p w:rsidR="009039FF" w:rsidRPr="00086DE8" w:rsidRDefault="009039FF" w:rsidP="009039FF">
      <w:pPr>
        <w:widowControl w:val="0"/>
        <w:autoSpaceDE w:val="0"/>
        <w:autoSpaceDN w:val="0"/>
        <w:spacing w:after="0" w:line="240" w:lineRule="auto"/>
        <w:jc w:val="center"/>
        <w:rPr>
          <w:rFonts w:ascii="Times New Roman" w:eastAsia="Times New Roman" w:hAnsi="Times New Roman" w:cs="Times New Roman"/>
          <w:i/>
          <w:sz w:val="28"/>
          <w:szCs w:val="28"/>
          <w:lang w:eastAsia="ru-RU"/>
        </w:rPr>
      </w:pPr>
      <w:r w:rsidRPr="00086DE8">
        <w:rPr>
          <w:rFonts w:ascii="Times New Roman" w:eastAsia="Times New Roman" w:hAnsi="Times New Roman" w:cs="Times New Roman"/>
          <w:i/>
          <w:sz w:val="28"/>
          <w:szCs w:val="28"/>
          <w:lang w:eastAsia="ru-RU"/>
        </w:rPr>
        <w:t>(в прежней редакции)</w:t>
      </w:r>
    </w:p>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24"/>
          <w:szCs w:val="24"/>
          <w:lang w:eastAsia="ru-RU"/>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93"/>
        <w:gridCol w:w="1984"/>
        <w:gridCol w:w="565"/>
        <w:gridCol w:w="565"/>
        <w:gridCol w:w="565"/>
        <w:gridCol w:w="529"/>
        <w:gridCol w:w="529"/>
        <w:gridCol w:w="529"/>
        <w:gridCol w:w="529"/>
        <w:gridCol w:w="529"/>
        <w:gridCol w:w="529"/>
        <w:gridCol w:w="529"/>
        <w:gridCol w:w="529"/>
        <w:gridCol w:w="529"/>
        <w:gridCol w:w="529"/>
        <w:gridCol w:w="529"/>
        <w:gridCol w:w="680"/>
        <w:gridCol w:w="529"/>
        <w:gridCol w:w="529"/>
        <w:gridCol w:w="680"/>
        <w:gridCol w:w="680"/>
        <w:gridCol w:w="737"/>
        <w:gridCol w:w="737"/>
        <w:gridCol w:w="813"/>
      </w:tblGrid>
      <w:tr w:rsidR="00D423B2" w:rsidRPr="00D423B2" w:rsidTr="001E5FD5">
        <w:trPr>
          <w:trHeight w:val="20"/>
        </w:trPr>
        <w:tc>
          <w:tcPr>
            <w:tcW w:w="2977" w:type="dxa"/>
            <w:gridSpan w:val="2"/>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Наименование показателя/годы</w:t>
            </w:r>
          </w:p>
        </w:tc>
        <w:tc>
          <w:tcPr>
            <w:tcW w:w="565"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2010</w:t>
            </w:r>
          </w:p>
        </w:tc>
        <w:tc>
          <w:tcPr>
            <w:tcW w:w="565"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2011</w:t>
            </w:r>
          </w:p>
        </w:tc>
        <w:tc>
          <w:tcPr>
            <w:tcW w:w="565"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2012</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2013</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2014</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2015</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2016</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2017</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2018</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2019</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2020</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2021</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2022</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2023</w:t>
            </w:r>
          </w:p>
        </w:tc>
        <w:tc>
          <w:tcPr>
            <w:tcW w:w="680"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2024</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2025</w:t>
            </w:r>
          </w:p>
        </w:tc>
        <w:tc>
          <w:tcPr>
            <w:tcW w:w="529"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2026</w:t>
            </w:r>
          </w:p>
        </w:tc>
        <w:tc>
          <w:tcPr>
            <w:tcW w:w="680"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2027</w:t>
            </w:r>
          </w:p>
        </w:tc>
        <w:tc>
          <w:tcPr>
            <w:tcW w:w="680"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2028</w:t>
            </w:r>
          </w:p>
        </w:tc>
        <w:tc>
          <w:tcPr>
            <w:tcW w:w="737"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2029</w:t>
            </w:r>
          </w:p>
        </w:tc>
        <w:tc>
          <w:tcPr>
            <w:tcW w:w="737"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2030</w:t>
            </w:r>
          </w:p>
        </w:tc>
        <w:tc>
          <w:tcPr>
            <w:tcW w:w="813" w:type="dxa"/>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2010 - 2030</w:t>
            </w:r>
          </w:p>
        </w:tc>
      </w:tr>
      <w:tr w:rsidR="00D423B2" w:rsidRPr="00D423B2" w:rsidTr="001E5FD5">
        <w:trPr>
          <w:trHeight w:val="20"/>
        </w:trPr>
        <w:tc>
          <w:tcPr>
            <w:tcW w:w="993" w:type="dxa"/>
            <w:vMerge w:val="restart"/>
          </w:tcPr>
          <w:p w:rsidR="009039FF" w:rsidRPr="00D423B2" w:rsidRDefault="009039FF" w:rsidP="009039FF">
            <w:pPr>
              <w:widowControl w:val="0"/>
              <w:autoSpaceDE w:val="0"/>
              <w:autoSpaceDN w:val="0"/>
              <w:spacing w:after="0" w:line="240" w:lineRule="auto"/>
              <w:jc w:val="center"/>
              <w:outlineLvl w:val="4"/>
              <w:rPr>
                <w:rFonts w:ascii="Times New Roman" w:eastAsia="Times New Roman" w:hAnsi="Times New Roman" w:cs="Times New Roman"/>
                <w:sz w:val="20"/>
                <w:szCs w:val="20"/>
                <w:lang w:eastAsia="ru-RU"/>
              </w:rPr>
            </w:pPr>
            <w:r w:rsidRPr="00D423B2">
              <w:rPr>
                <w:rFonts w:ascii="Times New Roman" w:eastAsia="Times New Roman" w:hAnsi="Times New Roman" w:cs="Times New Roman"/>
                <w:sz w:val="20"/>
                <w:szCs w:val="20"/>
                <w:lang w:eastAsia="ru-RU"/>
              </w:rPr>
              <w:t>ОАО "Татнефть"</w:t>
            </w:r>
          </w:p>
        </w:tc>
        <w:tc>
          <w:tcPr>
            <w:tcW w:w="1984"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Прирост запасов, млн тонн</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24,8</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20,3</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18,4</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34,4</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37,2</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27,4</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28,1</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27,0</w:t>
            </w:r>
          </w:p>
        </w:tc>
        <w:tc>
          <w:tcPr>
            <w:tcW w:w="813"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568,1</w:t>
            </w:r>
          </w:p>
        </w:tc>
      </w:tr>
      <w:tr w:rsidR="00D423B2" w:rsidRPr="00D423B2" w:rsidTr="001E5FD5">
        <w:trPr>
          <w:trHeight w:val="20"/>
        </w:trPr>
        <w:tc>
          <w:tcPr>
            <w:tcW w:w="993" w:type="dxa"/>
            <w:vMerge/>
          </w:tcPr>
          <w:p w:rsidR="009039FF" w:rsidRPr="00D423B2" w:rsidRDefault="009039FF" w:rsidP="009039FF">
            <w:pPr>
              <w:rPr>
                <w:rFonts w:ascii="Times New Roman" w:hAnsi="Times New Roman" w:cs="Times New Roman"/>
                <w:sz w:val="20"/>
                <w:szCs w:val="20"/>
              </w:rPr>
            </w:pPr>
          </w:p>
        </w:tc>
        <w:tc>
          <w:tcPr>
            <w:tcW w:w="1984"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Объемы сейсморазведочных работ, в том числе</w:t>
            </w:r>
          </w:p>
        </w:tc>
        <w:tc>
          <w:tcPr>
            <w:tcW w:w="565"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65"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65"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680"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529"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680"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680"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737"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737"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c>
          <w:tcPr>
            <w:tcW w:w="813"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p>
        </w:tc>
      </w:tr>
      <w:tr w:rsidR="00D423B2" w:rsidRPr="00D423B2" w:rsidTr="001E5FD5">
        <w:trPr>
          <w:trHeight w:val="20"/>
        </w:trPr>
        <w:tc>
          <w:tcPr>
            <w:tcW w:w="993" w:type="dxa"/>
            <w:vMerge/>
          </w:tcPr>
          <w:p w:rsidR="009039FF" w:rsidRPr="00D423B2" w:rsidRDefault="009039FF" w:rsidP="009039FF">
            <w:pPr>
              <w:rPr>
                <w:rFonts w:ascii="Times New Roman" w:hAnsi="Times New Roman" w:cs="Times New Roman"/>
                <w:sz w:val="20"/>
                <w:szCs w:val="20"/>
              </w:rPr>
            </w:pPr>
          </w:p>
        </w:tc>
        <w:tc>
          <w:tcPr>
            <w:tcW w:w="1984" w:type="dxa"/>
          </w:tcPr>
          <w:p w:rsidR="009039FF" w:rsidRPr="00D423B2" w:rsidRDefault="009039FF" w:rsidP="009039FF">
            <w:pPr>
              <w:widowControl w:val="0"/>
              <w:autoSpaceDE w:val="0"/>
              <w:autoSpaceDN w:val="0"/>
              <w:spacing w:after="0" w:line="240" w:lineRule="auto"/>
              <w:ind w:left="283"/>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2Д, пог. км</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4 111</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3 760</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1 095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141</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309</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100</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100</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100</w:t>
            </w:r>
          </w:p>
        </w:tc>
        <w:tc>
          <w:tcPr>
            <w:tcW w:w="813"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11 616</w:t>
            </w:r>
          </w:p>
        </w:tc>
      </w:tr>
      <w:tr w:rsidR="00D423B2" w:rsidRPr="00D423B2" w:rsidTr="001E5FD5">
        <w:trPr>
          <w:trHeight w:val="20"/>
        </w:trPr>
        <w:tc>
          <w:tcPr>
            <w:tcW w:w="993" w:type="dxa"/>
            <w:vMerge/>
          </w:tcPr>
          <w:p w:rsidR="009039FF" w:rsidRPr="00D423B2" w:rsidRDefault="009039FF" w:rsidP="009039FF">
            <w:pPr>
              <w:rPr>
                <w:rFonts w:ascii="Times New Roman" w:hAnsi="Times New Roman" w:cs="Times New Roman"/>
                <w:sz w:val="20"/>
                <w:szCs w:val="20"/>
              </w:rPr>
            </w:pPr>
          </w:p>
        </w:tc>
        <w:tc>
          <w:tcPr>
            <w:tcW w:w="1984" w:type="dxa"/>
          </w:tcPr>
          <w:p w:rsidR="009039FF" w:rsidRPr="00D423B2" w:rsidRDefault="009039FF" w:rsidP="009039FF">
            <w:pPr>
              <w:widowControl w:val="0"/>
              <w:autoSpaceDE w:val="0"/>
              <w:autoSpaceDN w:val="0"/>
              <w:spacing w:after="0" w:line="240" w:lineRule="auto"/>
              <w:ind w:left="283"/>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3Д, кв. км</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0</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82</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622</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692</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694</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450</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450</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450</w:t>
            </w:r>
          </w:p>
        </w:tc>
        <w:tc>
          <w:tcPr>
            <w:tcW w:w="813"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10 690</w:t>
            </w:r>
          </w:p>
        </w:tc>
      </w:tr>
      <w:tr w:rsidR="00D423B2" w:rsidRPr="00D423B2" w:rsidTr="001E5FD5">
        <w:trPr>
          <w:trHeight w:val="20"/>
        </w:trPr>
        <w:tc>
          <w:tcPr>
            <w:tcW w:w="993" w:type="dxa"/>
            <w:vMerge/>
          </w:tcPr>
          <w:p w:rsidR="009039FF" w:rsidRPr="00D423B2" w:rsidRDefault="009039FF" w:rsidP="009039FF">
            <w:pPr>
              <w:rPr>
                <w:rFonts w:ascii="Times New Roman" w:hAnsi="Times New Roman" w:cs="Times New Roman"/>
                <w:sz w:val="20"/>
                <w:szCs w:val="20"/>
              </w:rPr>
            </w:pPr>
          </w:p>
        </w:tc>
        <w:tc>
          <w:tcPr>
            <w:tcW w:w="1984"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Объем поисково-разведочного бурения, тыс. метров</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18,8</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19,1</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22,0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19,2</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14,3</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18,0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18,0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20,0</w:t>
            </w:r>
          </w:p>
        </w:tc>
        <w:tc>
          <w:tcPr>
            <w:tcW w:w="813"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409,4</w:t>
            </w:r>
          </w:p>
        </w:tc>
      </w:tr>
      <w:tr w:rsidR="00D423B2" w:rsidRPr="00D423B2" w:rsidTr="001E5FD5">
        <w:trPr>
          <w:trHeight w:val="20"/>
        </w:trPr>
        <w:tc>
          <w:tcPr>
            <w:tcW w:w="993" w:type="dxa"/>
            <w:vMerge w:val="restart"/>
          </w:tcPr>
          <w:p w:rsidR="009039FF" w:rsidRPr="00D423B2" w:rsidRDefault="009039FF" w:rsidP="009039FF">
            <w:pPr>
              <w:widowControl w:val="0"/>
              <w:autoSpaceDE w:val="0"/>
              <w:autoSpaceDN w:val="0"/>
              <w:spacing w:after="0" w:line="240" w:lineRule="auto"/>
              <w:jc w:val="center"/>
              <w:outlineLvl w:val="4"/>
              <w:rPr>
                <w:rFonts w:ascii="Times New Roman" w:eastAsia="Times New Roman" w:hAnsi="Times New Roman" w:cs="Times New Roman"/>
                <w:sz w:val="20"/>
                <w:szCs w:val="20"/>
                <w:lang w:eastAsia="ru-RU"/>
              </w:rPr>
            </w:pPr>
            <w:r w:rsidRPr="00D423B2">
              <w:rPr>
                <w:rFonts w:ascii="Times New Roman" w:eastAsia="Times New Roman" w:hAnsi="Times New Roman" w:cs="Times New Roman"/>
                <w:sz w:val="20"/>
                <w:szCs w:val="20"/>
                <w:lang w:eastAsia="ru-RU"/>
              </w:rPr>
              <w:t>МНК</w:t>
            </w:r>
          </w:p>
        </w:tc>
        <w:tc>
          <w:tcPr>
            <w:tcW w:w="1984"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Прирост запасов, млн тонн</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28,7</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16,2</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18,4</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15,4</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9,9</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6,5</w:t>
            </w:r>
          </w:p>
        </w:tc>
        <w:tc>
          <w:tcPr>
            <w:tcW w:w="813"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192,6</w:t>
            </w:r>
          </w:p>
        </w:tc>
      </w:tr>
      <w:tr w:rsidR="00D423B2" w:rsidRPr="00D423B2" w:rsidTr="001E5FD5">
        <w:trPr>
          <w:trHeight w:val="20"/>
        </w:trPr>
        <w:tc>
          <w:tcPr>
            <w:tcW w:w="993" w:type="dxa"/>
            <w:vMerge/>
          </w:tcPr>
          <w:p w:rsidR="009039FF" w:rsidRPr="00D423B2" w:rsidRDefault="009039FF" w:rsidP="009039FF">
            <w:pPr>
              <w:rPr>
                <w:rFonts w:ascii="Times New Roman" w:hAnsi="Times New Roman" w:cs="Times New Roman"/>
                <w:sz w:val="20"/>
                <w:szCs w:val="20"/>
              </w:rPr>
            </w:pPr>
          </w:p>
        </w:tc>
        <w:tc>
          <w:tcPr>
            <w:tcW w:w="1984"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Объемы сейсморазведочных работ, пог. км</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410</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1 450</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103</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123</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800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800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750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700</w:t>
            </w:r>
          </w:p>
        </w:tc>
        <w:tc>
          <w:tcPr>
            <w:tcW w:w="813"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14 236</w:t>
            </w:r>
          </w:p>
        </w:tc>
      </w:tr>
      <w:tr w:rsidR="00D423B2" w:rsidRPr="00D423B2" w:rsidTr="001E5FD5">
        <w:trPr>
          <w:trHeight w:val="20"/>
        </w:trPr>
        <w:tc>
          <w:tcPr>
            <w:tcW w:w="993" w:type="dxa"/>
            <w:vMerge/>
          </w:tcPr>
          <w:p w:rsidR="009039FF" w:rsidRPr="00D423B2" w:rsidRDefault="009039FF" w:rsidP="009039FF">
            <w:pPr>
              <w:rPr>
                <w:rFonts w:ascii="Times New Roman" w:hAnsi="Times New Roman" w:cs="Times New Roman"/>
                <w:sz w:val="20"/>
                <w:szCs w:val="20"/>
              </w:rPr>
            </w:pPr>
          </w:p>
        </w:tc>
        <w:tc>
          <w:tcPr>
            <w:tcW w:w="1984"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Объем поисково-разведочного бурения, тыс. метров</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41</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43</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28</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29</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31</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34</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34</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35</w:t>
            </w:r>
          </w:p>
        </w:tc>
        <w:tc>
          <w:tcPr>
            <w:tcW w:w="813"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725</w:t>
            </w:r>
          </w:p>
        </w:tc>
      </w:tr>
      <w:tr w:rsidR="00D423B2" w:rsidRPr="00D423B2" w:rsidTr="001E5FD5">
        <w:trPr>
          <w:trHeight w:val="20"/>
        </w:trPr>
        <w:tc>
          <w:tcPr>
            <w:tcW w:w="993" w:type="dxa"/>
            <w:vMerge w:val="restart"/>
          </w:tcPr>
          <w:p w:rsidR="009039FF" w:rsidRPr="00D423B2" w:rsidRDefault="009039FF" w:rsidP="009039FF">
            <w:pPr>
              <w:widowControl w:val="0"/>
              <w:autoSpaceDE w:val="0"/>
              <w:autoSpaceDN w:val="0"/>
              <w:spacing w:after="0" w:line="240" w:lineRule="auto"/>
              <w:jc w:val="center"/>
              <w:rPr>
                <w:rFonts w:ascii="Times New Roman" w:eastAsia="Times New Roman" w:hAnsi="Times New Roman" w:cs="Times New Roman"/>
                <w:sz w:val="20"/>
                <w:szCs w:val="20"/>
                <w:lang w:eastAsia="ru-RU"/>
              </w:rPr>
            </w:pPr>
            <w:r w:rsidRPr="00D423B2">
              <w:rPr>
                <w:rFonts w:ascii="Times New Roman" w:eastAsia="Times New Roman" w:hAnsi="Times New Roman" w:cs="Times New Roman"/>
                <w:sz w:val="20"/>
                <w:szCs w:val="20"/>
                <w:lang w:eastAsia="ru-RU"/>
              </w:rPr>
              <w:t>Всего по РТ</w:t>
            </w:r>
          </w:p>
        </w:tc>
        <w:tc>
          <w:tcPr>
            <w:tcW w:w="1984"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Прирост запасов, млн тонн</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53,5</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36,5</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36,8</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49,8</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47,1</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33,9</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34,6</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33,5</w:t>
            </w:r>
          </w:p>
        </w:tc>
        <w:tc>
          <w:tcPr>
            <w:tcW w:w="813"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760,7</w:t>
            </w:r>
          </w:p>
        </w:tc>
      </w:tr>
      <w:tr w:rsidR="00D423B2" w:rsidRPr="00D423B2" w:rsidTr="001E5FD5">
        <w:trPr>
          <w:trHeight w:val="20"/>
        </w:trPr>
        <w:tc>
          <w:tcPr>
            <w:tcW w:w="993" w:type="dxa"/>
            <w:vMerge/>
          </w:tcPr>
          <w:p w:rsidR="009039FF" w:rsidRPr="00D423B2" w:rsidRDefault="009039FF" w:rsidP="009039FF">
            <w:pPr>
              <w:rPr>
                <w:rFonts w:ascii="Times New Roman" w:hAnsi="Times New Roman" w:cs="Times New Roman"/>
                <w:sz w:val="20"/>
                <w:szCs w:val="20"/>
              </w:rPr>
            </w:pPr>
          </w:p>
        </w:tc>
        <w:tc>
          <w:tcPr>
            <w:tcW w:w="1984" w:type="dxa"/>
          </w:tcPr>
          <w:p w:rsidR="009039FF" w:rsidRPr="00D423B2" w:rsidRDefault="009039FF" w:rsidP="009039FF">
            <w:pPr>
              <w:widowControl w:val="0"/>
              <w:autoSpaceDE w:val="0"/>
              <w:autoSpaceDN w:val="0"/>
              <w:spacing w:after="0" w:line="240" w:lineRule="auto"/>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Объем поисково-разведочного бурения, тыс. метров</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59,8</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62,1</w:t>
            </w:r>
          </w:p>
        </w:tc>
        <w:tc>
          <w:tcPr>
            <w:tcW w:w="565"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62</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47,2</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43,3</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48</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49</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54</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50</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54</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529"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680"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737"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55</w:t>
            </w:r>
          </w:p>
        </w:tc>
        <w:tc>
          <w:tcPr>
            <w:tcW w:w="813" w:type="dxa"/>
          </w:tcPr>
          <w:p w:rsidR="009039FF" w:rsidRPr="00D423B2" w:rsidRDefault="009039FF" w:rsidP="009039FF">
            <w:pPr>
              <w:widowControl w:val="0"/>
              <w:autoSpaceDE w:val="0"/>
              <w:autoSpaceDN w:val="0"/>
              <w:spacing w:after="0" w:line="240" w:lineRule="auto"/>
              <w:jc w:val="right"/>
              <w:rPr>
                <w:rFonts w:ascii="Times New Roman" w:eastAsia="Times New Roman" w:hAnsi="Times New Roman" w:cs="Times New Roman"/>
                <w:sz w:val="18"/>
                <w:szCs w:val="18"/>
                <w:lang w:eastAsia="ru-RU"/>
              </w:rPr>
            </w:pPr>
            <w:r w:rsidRPr="00D423B2">
              <w:rPr>
                <w:rFonts w:ascii="Times New Roman" w:eastAsia="Times New Roman" w:hAnsi="Times New Roman" w:cs="Times New Roman"/>
                <w:sz w:val="18"/>
                <w:szCs w:val="18"/>
                <w:lang w:eastAsia="ru-RU"/>
              </w:rPr>
              <w:t>1 138,1</w:t>
            </w:r>
          </w:p>
        </w:tc>
      </w:tr>
    </w:tbl>
    <w:p w:rsidR="009039FF" w:rsidRPr="00D423B2" w:rsidRDefault="009039FF" w:rsidP="009039FF">
      <w:pPr>
        <w:autoSpaceDE w:val="0"/>
        <w:autoSpaceDN w:val="0"/>
        <w:adjustRightInd w:val="0"/>
        <w:spacing w:after="0" w:line="240" w:lineRule="auto"/>
        <w:jc w:val="right"/>
        <w:outlineLvl w:val="3"/>
        <w:rPr>
          <w:rFonts w:ascii="Times New Roman" w:eastAsia="Times New Roman" w:hAnsi="Times New Roman" w:cs="Times New Roman"/>
          <w:sz w:val="28"/>
          <w:szCs w:val="28"/>
          <w:lang w:eastAsia="ru-RU"/>
        </w:rPr>
      </w:pPr>
      <w:r w:rsidRPr="00D423B2">
        <w:rPr>
          <w:rFonts w:ascii="Times New Roman" w:eastAsia="Times New Roman" w:hAnsi="Times New Roman" w:cs="Times New Roman"/>
          <w:sz w:val="28"/>
          <w:szCs w:val="28"/>
          <w:lang w:eastAsia="ru-RU"/>
        </w:rPr>
        <w:t>Таблица 6</w:t>
      </w:r>
    </w:p>
    <w:p w:rsidR="009039FF" w:rsidRPr="00D423B2" w:rsidRDefault="009039FF" w:rsidP="009039FF">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D423B2">
        <w:rPr>
          <w:rFonts w:ascii="Times New Roman" w:eastAsia="Times New Roman" w:hAnsi="Times New Roman" w:cs="Times New Roman"/>
          <w:sz w:val="28"/>
          <w:szCs w:val="28"/>
          <w:lang w:eastAsia="ru-RU"/>
        </w:rPr>
        <w:t>Объемы прироста запасов, сейсморазведочных работ,</w:t>
      </w:r>
      <w:r w:rsidR="001E5FD5">
        <w:rPr>
          <w:rFonts w:ascii="Times New Roman" w:eastAsia="Times New Roman" w:hAnsi="Times New Roman" w:cs="Times New Roman"/>
          <w:sz w:val="28"/>
          <w:szCs w:val="28"/>
          <w:lang w:eastAsia="ru-RU"/>
        </w:rPr>
        <w:t xml:space="preserve"> </w:t>
      </w:r>
      <w:r w:rsidRPr="00D423B2">
        <w:rPr>
          <w:rFonts w:ascii="Times New Roman" w:eastAsia="Times New Roman" w:hAnsi="Times New Roman" w:cs="Times New Roman"/>
          <w:sz w:val="28"/>
          <w:szCs w:val="28"/>
          <w:lang w:eastAsia="ru-RU"/>
        </w:rPr>
        <w:t>поисково-разведочного бурения</w:t>
      </w:r>
    </w:p>
    <w:p w:rsidR="009039FF" w:rsidRPr="00D423B2" w:rsidRDefault="009039FF" w:rsidP="009039FF">
      <w:pPr>
        <w:autoSpaceDE w:val="0"/>
        <w:autoSpaceDN w:val="0"/>
        <w:adjustRightInd w:val="0"/>
        <w:spacing w:after="0" w:line="240" w:lineRule="auto"/>
        <w:jc w:val="center"/>
        <w:rPr>
          <w:rFonts w:ascii="Times New Roman" w:eastAsia="Times New Roman" w:hAnsi="Times New Roman" w:cs="Times New Roman"/>
          <w:i/>
          <w:sz w:val="28"/>
          <w:szCs w:val="28"/>
          <w:lang w:eastAsia="ru-RU"/>
        </w:rPr>
      </w:pPr>
      <w:r w:rsidRPr="00D423B2">
        <w:rPr>
          <w:rFonts w:ascii="Times New Roman" w:eastAsia="Times New Roman" w:hAnsi="Times New Roman" w:cs="Times New Roman"/>
          <w:i/>
          <w:sz w:val="28"/>
          <w:szCs w:val="28"/>
          <w:lang w:eastAsia="ru-RU"/>
        </w:rPr>
        <w:t>(в новой редакции)</w:t>
      </w:r>
    </w:p>
    <w:p w:rsidR="009039FF" w:rsidRPr="00D423B2" w:rsidRDefault="009039FF" w:rsidP="009039FF">
      <w:pPr>
        <w:autoSpaceDE w:val="0"/>
        <w:autoSpaceDN w:val="0"/>
        <w:adjustRightInd w:val="0"/>
        <w:spacing w:after="0" w:line="240" w:lineRule="auto"/>
        <w:jc w:val="both"/>
        <w:rPr>
          <w:rFonts w:ascii="Times New Roman" w:eastAsia="Times New Roman" w:hAnsi="Times New Roman" w:cs="Times New Roman"/>
          <w:sz w:val="28"/>
          <w:szCs w:val="28"/>
          <w:lang w:eastAsia="ru-RU"/>
        </w:rPr>
      </w:pPr>
    </w:p>
    <w:tbl>
      <w:tblPr>
        <w:tblW w:w="150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1303"/>
        <w:gridCol w:w="3260"/>
        <w:gridCol w:w="653"/>
        <w:gridCol w:w="654"/>
        <w:gridCol w:w="654"/>
        <w:gridCol w:w="654"/>
        <w:gridCol w:w="654"/>
        <w:gridCol w:w="660"/>
        <w:gridCol w:w="654"/>
        <w:gridCol w:w="653"/>
        <w:gridCol w:w="654"/>
        <w:gridCol w:w="654"/>
        <w:gridCol w:w="660"/>
        <w:gridCol w:w="654"/>
        <w:gridCol w:w="660"/>
        <w:gridCol w:w="654"/>
        <w:gridCol w:w="1291"/>
      </w:tblGrid>
      <w:tr w:rsidR="00E15989" w:rsidRPr="00E15989" w:rsidTr="00086DE8">
        <w:tc>
          <w:tcPr>
            <w:tcW w:w="4563" w:type="dxa"/>
            <w:gridSpan w:val="2"/>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Наименование показателя/годы</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2017</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2018</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2019</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2021</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2022</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2023</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2024</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2025</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2026</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2027</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2028</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2029</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2030</w:t>
            </w:r>
          </w:p>
        </w:tc>
        <w:tc>
          <w:tcPr>
            <w:tcW w:w="1291"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2017 - 2030</w:t>
            </w:r>
          </w:p>
        </w:tc>
      </w:tr>
      <w:tr w:rsidR="00086DE8" w:rsidRPr="00E15989" w:rsidTr="00086DE8">
        <w:tc>
          <w:tcPr>
            <w:tcW w:w="1303" w:type="dxa"/>
            <w:vMerge w:val="restart"/>
          </w:tcPr>
          <w:p w:rsidR="00E15989" w:rsidRPr="00E15989" w:rsidRDefault="00E15989" w:rsidP="00E15989">
            <w:pPr>
              <w:autoSpaceDE w:val="0"/>
              <w:autoSpaceDN w:val="0"/>
              <w:adjustRightInd w:val="0"/>
              <w:spacing w:before="60" w:afterLines="60" w:after="144" w:line="240" w:lineRule="auto"/>
              <w:jc w:val="center"/>
              <w:outlineLvl w:val="4"/>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ПАО «Татнефть»</w:t>
            </w:r>
          </w:p>
        </w:tc>
        <w:tc>
          <w:tcPr>
            <w:tcW w:w="3260" w:type="dxa"/>
          </w:tcPr>
          <w:p w:rsidR="00E15989" w:rsidRPr="00E15989" w:rsidRDefault="00E15989" w:rsidP="00E15989">
            <w:pPr>
              <w:autoSpaceDE w:val="0"/>
              <w:autoSpaceDN w:val="0"/>
              <w:adjustRightInd w:val="0"/>
              <w:spacing w:before="60" w:afterLines="60" w:after="144" w:line="240" w:lineRule="auto"/>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Прирост запасов всего*,</w:t>
            </w:r>
            <w:r w:rsidRPr="00E15989">
              <w:rPr>
                <w:rFonts w:ascii="Times New Roman" w:eastAsia="Times New Roman" w:hAnsi="Times New Roman" w:cs="Times New Roman"/>
                <w:lang w:eastAsia="ru-RU"/>
              </w:rPr>
              <w:br/>
              <w:t>млн тонн</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29,5</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29,8</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29,8</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30,5</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31,3</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32,7</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33,9</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34,9</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35,6</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35,6</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35,2</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34,4</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33,7</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32,9</w:t>
            </w:r>
          </w:p>
        </w:tc>
        <w:tc>
          <w:tcPr>
            <w:tcW w:w="1291"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459,8</w:t>
            </w:r>
          </w:p>
        </w:tc>
      </w:tr>
      <w:tr w:rsidR="00E15989" w:rsidRPr="00E15989" w:rsidTr="00086DE8">
        <w:tc>
          <w:tcPr>
            <w:tcW w:w="1303" w:type="dxa"/>
            <w:vMerge/>
          </w:tcPr>
          <w:p w:rsidR="00E15989" w:rsidRPr="00E15989" w:rsidRDefault="00E15989" w:rsidP="00E15989">
            <w:pPr>
              <w:spacing w:before="60" w:afterLines="60" w:after="144" w:line="240" w:lineRule="auto"/>
              <w:rPr>
                <w:rFonts w:ascii="Times New Roman" w:eastAsia="Times New Roman" w:hAnsi="Times New Roman" w:cs="Times New Roman"/>
                <w:lang w:eastAsia="ru-RU"/>
              </w:rPr>
            </w:pPr>
          </w:p>
        </w:tc>
        <w:tc>
          <w:tcPr>
            <w:tcW w:w="13723" w:type="dxa"/>
            <w:gridSpan w:val="16"/>
          </w:tcPr>
          <w:p w:rsidR="00E15989" w:rsidRPr="00E15989" w:rsidRDefault="00E15989" w:rsidP="00E15989">
            <w:pPr>
              <w:autoSpaceDE w:val="0"/>
              <w:autoSpaceDN w:val="0"/>
              <w:adjustRightInd w:val="0"/>
              <w:spacing w:before="60" w:afterLines="60" w:after="144" w:line="240" w:lineRule="auto"/>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Объемы сейсморазведочных работ, в том числе</w:t>
            </w:r>
          </w:p>
        </w:tc>
      </w:tr>
      <w:tr w:rsidR="00086DE8" w:rsidRPr="00E15989" w:rsidTr="00086DE8">
        <w:tc>
          <w:tcPr>
            <w:tcW w:w="1303" w:type="dxa"/>
            <w:vMerge/>
          </w:tcPr>
          <w:p w:rsidR="00E15989" w:rsidRPr="00E15989" w:rsidRDefault="00E15989" w:rsidP="00E15989">
            <w:pPr>
              <w:spacing w:before="60" w:afterLines="60" w:after="144" w:line="240" w:lineRule="auto"/>
              <w:rPr>
                <w:rFonts w:ascii="Times New Roman" w:eastAsia="Times New Roman" w:hAnsi="Times New Roman" w:cs="Times New Roman"/>
                <w:lang w:eastAsia="ru-RU"/>
              </w:rPr>
            </w:pPr>
          </w:p>
        </w:tc>
        <w:tc>
          <w:tcPr>
            <w:tcW w:w="3260" w:type="dxa"/>
          </w:tcPr>
          <w:p w:rsidR="00E15989" w:rsidRPr="00E15989" w:rsidRDefault="00E15989" w:rsidP="00E15989">
            <w:pPr>
              <w:autoSpaceDE w:val="0"/>
              <w:autoSpaceDN w:val="0"/>
              <w:adjustRightInd w:val="0"/>
              <w:spacing w:before="60" w:afterLines="60" w:after="144" w:line="240" w:lineRule="auto"/>
              <w:ind w:left="283"/>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2Д, пог. км</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678</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280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90</w:t>
            </w:r>
          </w:p>
        </w:tc>
        <w:tc>
          <w:tcPr>
            <w:tcW w:w="1291"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1948,0</w:t>
            </w:r>
          </w:p>
        </w:tc>
      </w:tr>
      <w:tr w:rsidR="00086DE8" w:rsidRPr="00E15989" w:rsidTr="00086DE8">
        <w:tc>
          <w:tcPr>
            <w:tcW w:w="1303" w:type="dxa"/>
            <w:vMerge/>
          </w:tcPr>
          <w:p w:rsidR="00E15989" w:rsidRPr="00E15989" w:rsidRDefault="00E15989" w:rsidP="00E15989">
            <w:pPr>
              <w:spacing w:before="60" w:afterLines="60" w:after="144" w:line="240" w:lineRule="auto"/>
              <w:rPr>
                <w:rFonts w:ascii="Times New Roman" w:eastAsia="Times New Roman" w:hAnsi="Times New Roman" w:cs="Times New Roman"/>
                <w:lang w:eastAsia="ru-RU"/>
              </w:rPr>
            </w:pPr>
          </w:p>
        </w:tc>
        <w:tc>
          <w:tcPr>
            <w:tcW w:w="3260" w:type="dxa"/>
          </w:tcPr>
          <w:p w:rsidR="00E15989" w:rsidRPr="00E15989" w:rsidRDefault="00E15989" w:rsidP="00E15989">
            <w:pPr>
              <w:autoSpaceDE w:val="0"/>
              <w:autoSpaceDN w:val="0"/>
              <w:adjustRightInd w:val="0"/>
              <w:spacing w:before="60" w:afterLines="60" w:after="144" w:line="240" w:lineRule="auto"/>
              <w:ind w:left="283"/>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3Д, кв. км</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412</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558</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600</w:t>
            </w:r>
          </w:p>
        </w:tc>
        <w:tc>
          <w:tcPr>
            <w:tcW w:w="1291"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7570,0</w:t>
            </w:r>
          </w:p>
        </w:tc>
      </w:tr>
      <w:tr w:rsidR="00086DE8" w:rsidRPr="00E15989" w:rsidTr="00086DE8">
        <w:tc>
          <w:tcPr>
            <w:tcW w:w="1303" w:type="dxa"/>
            <w:vMerge/>
          </w:tcPr>
          <w:p w:rsidR="00E15989" w:rsidRPr="00E15989" w:rsidRDefault="00E15989" w:rsidP="00E15989">
            <w:pPr>
              <w:spacing w:before="60" w:afterLines="60" w:after="144" w:line="240" w:lineRule="auto"/>
              <w:rPr>
                <w:rFonts w:ascii="Times New Roman" w:eastAsia="Times New Roman" w:hAnsi="Times New Roman" w:cs="Times New Roman"/>
                <w:lang w:eastAsia="ru-RU"/>
              </w:rPr>
            </w:pPr>
          </w:p>
        </w:tc>
        <w:tc>
          <w:tcPr>
            <w:tcW w:w="3260" w:type="dxa"/>
          </w:tcPr>
          <w:p w:rsidR="00E15989" w:rsidRPr="00E15989" w:rsidRDefault="00E15989" w:rsidP="00E15989">
            <w:pPr>
              <w:autoSpaceDE w:val="0"/>
              <w:autoSpaceDN w:val="0"/>
              <w:adjustRightInd w:val="0"/>
              <w:spacing w:before="60" w:afterLines="60" w:after="144" w:line="240" w:lineRule="auto"/>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Объем поисково-разведочного бурения, тыс. метров</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16,0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18,1</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18,0</w:t>
            </w:r>
          </w:p>
        </w:tc>
        <w:tc>
          <w:tcPr>
            <w:tcW w:w="1291"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250,1</w:t>
            </w:r>
          </w:p>
        </w:tc>
      </w:tr>
      <w:tr w:rsidR="00086DE8" w:rsidRPr="00E15989" w:rsidTr="00086DE8">
        <w:tc>
          <w:tcPr>
            <w:tcW w:w="1303" w:type="dxa"/>
            <w:vMerge w:val="restart"/>
          </w:tcPr>
          <w:p w:rsidR="00E15989" w:rsidRPr="00E15989" w:rsidRDefault="00E15989" w:rsidP="00E15989">
            <w:pPr>
              <w:autoSpaceDE w:val="0"/>
              <w:autoSpaceDN w:val="0"/>
              <w:adjustRightInd w:val="0"/>
              <w:spacing w:before="60" w:afterLines="60" w:after="144" w:line="240" w:lineRule="auto"/>
              <w:jc w:val="center"/>
              <w:outlineLvl w:val="4"/>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МНК</w:t>
            </w:r>
          </w:p>
        </w:tc>
        <w:tc>
          <w:tcPr>
            <w:tcW w:w="3260" w:type="dxa"/>
          </w:tcPr>
          <w:p w:rsidR="00E15989" w:rsidRPr="00E15989" w:rsidRDefault="00E15989" w:rsidP="00E15989">
            <w:pPr>
              <w:autoSpaceDE w:val="0"/>
              <w:autoSpaceDN w:val="0"/>
              <w:adjustRightInd w:val="0"/>
              <w:spacing w:before="60" w:afterLines="60" w:after="144" w:line="240" w:lineRule="auto"/>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Прирост запасов, млн тонн</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13,4</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12</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60"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53"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60"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60"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6,5</w:t>
            </w:r>
          </w:p>
        </w:tc>
        <w:tc>
          <w:tcPr>
            <w:tcW w:w="1291"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103,4</w:t>
            </w:r>
          </w:p>
        </w:tc>
      </w:tr>
      <w:tr w:rsidR="00E15989" w:rsidRPr="00E15989" w:rsidTr="00086DE8">
        <w:tc>
          <w:tcPr>
            <w:tcW w:w="1303" w:type="dxa"/>
            <w:vMerge/>
          </w:tcPr>
          <w:p w:rsidR="00E15989" w:rsidRPr="00E15989" w:rsidRDefault="00E15989" w:rsidP="00E15989">
            <w:pPr>
              <w:spacing w:before="60" w:afterLines="60" w:after="144" w:line="240" w:lineRule="auto"/>
              <w:rPr>
                <w:rFonts w:ascii="Times New Roman" w:eastAsia="Times New Roman" w:hAnsi="Times New Roman" w:cs="Times New Roman"/>
                <w:lang w:eastAsia="ru-RU"/>
              </w:rPr>
            </w:pPr>
          </w:p>
        </w:tc>
        <w:tc>
          <w:tcPr>
            <w:tcW w:w="13723" w:type="dxa"/>
            <w:gridSpan w:val="16"/>
          </w:tcPr>
          <w:p w:rsidR="00E15989" w:rsidRPr="00E15989" w:rsidRDefault="00E15989" w:rsidP="00E15989">
            <w:pPr>
              <w:autoSpaceDE w:val="0"/>
              <w:autoSpaceDN w:val="0"/>
              <w:adjustRightInd w:val="0"/>
              <w:spacing w:before="60" w:afterLines="60" w:after="144" w:line="240" w:lineRule="auto"/>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 xml:space="preserve">Объемы сейсморазведочных работ, в том числе </w:t>
            </w:r>
          </w:p>
        </w:tc>
      </w:tr>
      <w:tr w:rsidR="00086DE8" w:rsidRPr="00E15989" w:rsidTr="00086DE8">
        <w:tc>
          <w:tcPr>
            <w:tcW w:w="1303" w:type="dxa"/>
            <w:vMerge/>
          </w:tcPr>
          <w:p w:rsidR="00E15989" w:rsidRPr="00E15989" w:rsidRDefault="00E15989" w:rsidP="00E15989">
            <w:pPr>
              <w:spacing w:before="60" w:afterLines="60" w:after="144" w:line="240" w:lineRule="auto"/>
              <w:rPr>
                <w:rFonts w:ascii="Times New Roman" w:eastAsia="Times New Roman" w:hAnsi="Times New Roman" w:cs="Times New Roman"/>
                <w:lang w:eastAsia="ru-RU"/>
              </w:rPr>
            </w:pPr>
          </w:p>
        </w:tc>
        <w:tc>
          <w:tcPr>
            <w:tcW w:w="3260" w:type="dxa"/>
          </w:tcPr>
          <w:p w:rsidR="00E15989" w:rsidRPr="00E15989" w:rsidRDefault="00E15989" w:rsidP="00E15989">
            <w:pPr>
              <w:autoSpaceDE w:val="0"/>
              <w:autoSpaceDN w:val="0"/>
              <w:adjustRightInd w:val="0"/>
              <w:spacing w:before="60" w:afterLines="60" w:after="144" w:line="240" w:lineRule="auto"/>
              <w:ind w:left="283"/>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2Д, пог. км</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1146</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1291"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1546,0</w:t>
            </w:r>
          </w:p>
        </w:tc>
      </w:tr>
      <w:tr w:rsidR="00086DE8" w:rsidRPr="00E15989" w:rsidTr="00086DE8">
        <w:tc>
          <w:tcPr>
            <w:tcW w:w="1303" w:type="dxa"/>
            <w:vMerge/>
          </w:tcPr>
          <w:p w:rsidR="00E15989" w:rsidRPr="00E15989" w:rsidRDefault="00E15989" w:rsidP="00E15989">
            <w:pPr>
              <w:spacing w:before="60" w:afterLines="60" w:after="144" w:line="240" w:lineRule="auto"/>
              <w:rPr>
                <w:rFonts w:ascii="Times New Roman" w:eastAsia="Times New Roman" w:hAnsi="Times New Roman" w:cs="Times New Roman"/>
                <w:lang w:eastAsia="ru-RU"/>
              </w:rPr>
            </w:pPr>
          </w:p>
        </w:tc>
        <w:tc>
          <w:tcPr>
            <w:tcW w:w="3260" w:type="dxa"/>
          </w:tcPr>
          <w:p w:rsidR="00E15989" w:rsidRPr="00E15989" w:rsidRDefault="00E15989" w:rsidP="00E15989">
            <w:pPr>
              <w:autoSpaceDE w:val="0"/>
              <w:autoSpaceDN w:val="0"/>
              <w:adjustRightInd w:val="0"/>
              <w:spacing w:before="60" w:afterLines="60" w:after="144" w:line="240" w:lineRule="auto"/>
              <w:ind w:left="283"/>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3Д, кв. км</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74</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550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81,7</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100</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100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100</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32</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137</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1291"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1174,7</w:t>
            </w:r>
          </w:p>
        </w:tc>
      </w:tr>
      <w:tr w:rsidR="00086DE8" w:rsidRPr="00E15989" w:rsidTr="00086DE8">
        <w:tc>
          <w:tcPr>
            <w:tcW w:w="1303" w:type="dxa"/>
            <w:vMerge/>
          </w:tcPr>
          <w:p w:rsidR="00E15989" w:rsidRPr="00E15989" w:rsidRDefault="00E15989" w:rsidP="00E15989">
            <w:pPr>
              <w:spacing w:before="60" w:afterLines="60" w:after="144" w:line="240" w:lineRule="auto"/>
              <w:rPr>
                <w:rFonts w:ascii="Times New Roman" w:eastAsia="Times New Roman" w:hAnsi="Times New Roman" w:cs="Times New Roman"/>
                <w:lang w:eastAsia="ru-RU"/>
              </w:rPr>
            </w:pPr>
          </w:p>
        </w:tc>
        <w:tc>
          <w:tcPr>
            <w:tcW w:w="3260" w:type="dxa"/>
          </w:tcPr>
          <w:p w:rsidR="00E15989" w:rsidRPr="00E15989" w:rsidRDefault="00E15989" w:rsidP="00E15989">
            <w:pPr>
              <w:autoSpaceDE w:val="0"/>
              <w:autoSpaceDN w:val="0"/>
              <w:adjustRightInd w:val="0"/>
              <w:spacing w:before="60" w:afterLines="60" w:after="144" w:line="240" w:lineRule="auto"/>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Объем поисково-разведочного бурения, тыс. метров</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12,2</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12</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12,8</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7,9</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4,7</w:t>
            </w:r>
          </w:p>
        </w:tc>
        <w:tc>
          <w:tcPr>
            <w:tcW w:w="660"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4,85</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7,9</w:t>
            </w:r>
          </w:p>
        </w:tc>
        <w:tc>
          <w:tcPr>
            <w:tcW w:w="653"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6,4</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2,1</w:t>
            </w:r>
          </w:p>
        </w:tc>
        <w:tc>
          <w:tcPr>
            <w:tcW w:w="660"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2,25</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660"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1,25</w:t>
            </w:r>
          </w:p>
        </w:tc>
        <w:tc>
          <w:tcPr>
            <w:tcW w:w="654" w:type="dxa"/>
            <w:vAlign w:val="center"/>
          </w:tcPr>
          <w:p w:rsidR="00E15989" w:rsidRPr="00E15989" w:rsidRDefault="00E15989" w:rsidP="00E15989">
            <w:pPr>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0</w:t>
            </w:r>
          </w:p>
        </w:tc>
        <w:tc>
          <w:tcPr>
            <w:tcW w:w="1291"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75,4</w:t>
            </w:r>
          </w:p>
        </w:tc>
      </w:tr>
      <w:tr w:rsidR="00086DE8" w:rsidRPr="00E15989" w:rsidTr="00086DE8">
        <w:tc>
          <w:tcPr>
            <w:tcW w:w="1303" w:type="dxa"/>
            <w:vMerge w:val="restart"/>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Всего по РТ</w:t>
            </w:r>
          </w:p>
        </w:tc>
        <w:tc>
          <w:tcPr>
            <w:tcW w:w="3260" w:type="dxa"/>
          </w:tcPr>
          <w:p w:rsidR="00E15989" w:rsidRPr="00E15989" w:rsidRDefault="00E15989" w:rsidP="00E15989">
            <w:pPr>
              <w:autoSpaceDE w:val="0"/>
              <w:autoSpaceDN w:val="0"/>
              <w:adjustRightInd w:val="0"/>
              <w:spacing w:before="60" w:afterLines="60" w:after="144" w:line="240" w:lineRule="auto"/>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Прирост запасов, млн тонн</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42,9</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41,8</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36,3</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37</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37,8</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39,2</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40,4</w:t>
            </w:r>
          </w:p>
        </w:tc>
        <w:tc>
          <w:tcPr>
            <w:tcW w:w="653"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41,4</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42,1</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42,1</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41,7</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40,9</w:t>
            </w:r>
          </w:p>
        </w:tc>
        <w:tc>
          <w:tcPr>
            <w:tcW w:w="660"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40,2</w:t>
            </w:r>
          </w:p>
        </w:tc>
        <w:tc>
          <w:tcPr>
            <w:tcW w:w="654"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39,4</w:t>
            </w:r>
          </w:p>
        </w:tc>
        <w:tc>
          <w:tcPr>
            <w:tcW w:w="1291" w:type="dxa"/>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563,2</w:t>
            </w:r>
          </w:p>
        </w:tc>
      </w:tr>
      <w:tr w:rsidR="00086DE8" w:rsidRPr="00E15989" w:rsidTr="00086DE8">
        <w:tc>
          <w:tcPr>
            <w:tcW w:w="1303" w:type="dxa"/>
            <w:vMerge/>
            <w:tcBorders>
              <w:bottom w:val="single" w:sz="4" w:space="0" w:color="auto"/>
            </w:tcBorders>
          </w:tcPr>
          <w:p w:rsidR="00E15989" w:rsidRPr="00E15989" w:rsidRDefault="00E15989" w:rsidP="00E15989">
            <w:pPr>
              <w:spacing w:before="60" w:afterLines="60" w:after="144" w:line="240" w:lineRule="auto"/>
              <w:rPr>
                <w:rFonts w:ascii="Times New Roman" w:eastAsia="Times New Roman" w:hAnsi="Times New Roman" w:cs="Times New Roman"/>
                <w:lang w:eastAsia="ru-RU"/>
              </w:rPr>
            </w:pPr>
          </w:p>
        </w:tc>
        <w:tc>
          <w:tcPr>
            <w:tcW w:w="3260" w:type="dxa"/>
            <w:tcBorders>
              <w:bottom w:val="single" w:sz="4" w:space="0" w:color="auto"/>
            </w:tcBorders>
          </w:tcPr>
          <w:p w:rsidR="00E15989" w:rsidRPr="00E15989" w:rsidRDefault="00E15989" w:rsidP="00E15989">
            <w:pPr>
              <w:autoSpaceDE w:val="0"/>
              <w:autoSpaceDN w:val="0"/>
              <w:adjustRightInd w:val="0"/>
              <w:spacing w:before="60" w:afterLines="60" w:after="144" w:line="240" w:lineRule="auto"/>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Объем поисково-разведочного бурения, тыс. метров</w:t>
            </w:r>
          </w:p>
        </w:tc>
        <w:tc>
          <w:tcPr>
            <w:tcW w:w="653"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28,2</w:t>
            </w:r>
          </w:p>
        </w:tc>
        <w:tc>
          <w:tcPr>
            <w:tcW w:w="654"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30,1</w:t>
            </w:r>
          </w:p>
        </w:tc>
        <w:tc>
          <w:tcPr>
            <w:tcW w:w="654"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30,8</w:t>
            </w:r>
          </w:p>
        </w:tc>
        <w:tc>
          <w:tcPr>
            <w:tcW w:w="654"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25,9</w:t>
            </w:r>
          </w:p>
        </w:tc>
        <w:tc>
          <w:tcPr>
            <w:tcW w:w="654"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22,7</w:t>
            </w:r>
          </w:p>
        </w:tc>
        <w:tc>
          <w:tcPr>
            <w:tcW w:w="660"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22,85</w:t>
            </w:r>
          </w:p>
        </w:tc>
        <w:tc>
          <w:tcPr>
            <w:tcW w:w="654"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25,9</w:t>
            </w:r>
          </w:p>
        </w:tc>
        <w:tc>
          <w:tcPr>
            <w:tcW w:w="653"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19</w:t>
            </w:r>
          </w:p>
        </w:tc>
        <w:tc>
          <w:tcPr>
            <w:tcW w:w="654"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24,4</w:t>
            </w:r>
          </w:p>
        </w:tc>
        <w:tc>
          <w:tcPr>
            <w:tcW w:w="654"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20,1</w:t>
            </w:r>
          </w:p>
        </w:tc>
        <w:tc>
          <w:tcPr>
            <w:tcW w:w="660"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20,25</w:t>
            </w:r>
          </w:p>
        </w:tc>
        <w:tc>
          <w:tcPr>
            <w:tcW w:w="654"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w:t>
            </w:r>
          </w:p>
        </w:tc>
        <w:tc>
          <w:tcPr>
            <w:tcW w:w="660"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19,25</w:t>
            </w:r>
          </w:p>
        </w:tc>
        <w:tc>
          <w:tcPr>
            <w:tcW w:w="654"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18</w:t>
            </w:r>
          </w:p>
        </w:tc>
        <w:tc>
          <w:tcPr>
            <w:tcW w:w="1291" w:type="dxa"/>
            <w:tcBorders>
              <w:bottom w:val="single" w:sz="4" w:space="0" w:color="auto"/>
            </w:tcBorders>
            <w:vAlign w:val="center"/>
          </w:tcPr>
          <w:p w:rsidR="00E15989" w:rsidRPr="00E15989" w:rsidRDefault="00E15989" w:rsidP="00E15989">
            <w:pPr>
              <w:autoSpaceDE w:val="0"/>
              <w:autoSpaceDN w:val="0"/>
              <w:adjustRightInd w:val="0"/>
              <w:spacing w:before="60" w:afterLines="60" w:after="144" w:line="240" w:lineRule="auto"/>
              <w:jc w:val="center"/>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325,5</w:t>
            </w:r>
          </w:p>
        </w:tc>
      </w:tr>
    </w:tbl>
    <w:p w:rsidR="00E15989" w:rsidRPr="00E15989" w:rsidRDefault="00E15989" w:rsidP="00E15989">
      <w:pPr>
        <w:autoSpaceDE w:val="0"/>
        <w:autoSpaceDN w:val="0"/>
        <w:adjustRightInd w:val="0"/>
        <w:spacing w:after="0" w:line="240" w:lineRule="auto"/>
        <w:jc w:val="both"/>
        <w:outlineLvl w:val="3"/>
        <w:rPr>
          <w:rFonts w:ascii="Times New Roman" w:eastAsia="Times New Roman" w:hAnsi="Times New Roman" w:cs="Times New Roman"/>
          <w:lang w:eastAsia="ru-RU"/>
        </w:rPr>
      </w:pPr>
    </w:p>
    <w:p w:rsidR="00E15989" w:rsidRPr="00E15989" w:rsidRDefault="00E15989" w:rsidP="00E15989">
      <w:pPr>
        <w:autoSpaceDE w:val="0"/>
        <w:autoSpaceDN w:val="0"/>
        <w:adjustRightInd w:val="0"/>
        <w:spacing w:after="0" w:line="240" w:lineRule="auto"/>
        <w:jc w:val="both"/>
        <w:outlineLvl w:val="3"/>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____________</w:t>
      </w:r>
    </w:p>
    <w:p w:rsidR="00564A8F" w:rsidRPr="00086DE8" w:rsidRDefault="00E15989" w:rsidP="00FE1010">
      <w:pPr>
        <w:autoSpaceDE w:val="0"/>
        <w:autoSpaceDN w:val="0"/>
        <w:adjustRightInd w:val="0"/>
        <w:spacing w:after="0" w:line="240" w:lineRule="auto"/>
        <w:jc w:val="both"/>
        <w:outlineLvl w:val="3"/>
        <w:rPr>
          <w:rFonts w:ascii="Times New Roman" w:eastAsia="Times New Roman" w:hAnsi="Times New Roman" w:cs="Times New Roman"/>
          <w:lang w:eastAsia="ru-RU"/>
        </w:rPr>
      </w:pPr>
      <w:r w:rsidRPr="00E15989">
        <w:rPr>
          <w:rFonts w:ascii="Times New Roman" w:eastAsia="Times New Roman" w:hAnsi="Times New Roman" w:cs="Times New Roman"/>
          <w:lang w:eastAsia="ru-RU"/>
        </w:rPr>
        <w:t>* - без учета списания по Республике Татарстан (А+В1+С1+В2+С2)</w:t>
      </w:r>
    </w:p>
    <w:p w:rsidR="00086DE8" w:rsidRDefault="00086DE8" w:rsidP="0044779F">
      <w:pPr>
        <w:widowControl w:val="0"/>
        <w:autoSpaceDE w:val="0"/>
        <w:autoSpaceDN w:val="0"/>
        <w:spacing w:after="0" w:line="240" w:lineRule="auto"/>
        <w:outlineLvl w:val="3"/>
        <w:rPr>
          <w:rFonts w:ascii="Times New Roman" w:eastAsia="Times New Roman" w:hAnsi="Times New Roman" w:cs="Times New Roman"/>
          <w:sz w:val="20"/>
          <w:szCs w:val="20"/>
          <w:lang w:eastAsia="ru-RU"/>
        </w:rPr>
      </w:pPr>
    </w:p>
    <w:p w:rsidR="001E5FD5" w:rsidRDefault="001E5FD5">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821D6E" w:rsidRPr="00086DE8" w:rsidRDefault="00821D6E" w:rsidP="00821D6E">
      <w:pPr>
        <w:widowControl w:val="0"/>
        <w:autoSpaceDE w:val="0"/>
        <w:autoSpaceDN w:val="0"/>
        <w:spacing w:after="0" w:line="240" w:lineRule="auto"/>
        <w:jc w:val="right"/>
        <w:outlineLvl w:val="3"/>
        <w:rPr>
          <w:rFonts w:ascii="Times New Roman" w:eastAsia="Times New Roman" w:hAnsi="Times New Roman" w:cs="Times New Roman"/>
          <w:sz w:val="28"/>
          <w:szCs w:val="28"/>
          <w:lang w:eastAsia="ru-RU"/>
        </w:rPr>
      </w:pPr>
      <w:r w:rsidRPr="00086DE8">
        <w:rPr>
          <w:rFonts w:ascii="Times New Roman" w:eastAsia="Times New Roman" w:hAnsi="Times New Roman" w:cs="Times New Roman"/>
          <w:sz w:val="28"/>
          <w:szCs w:val="28"/>
          <w:lang w:eastAsia="ru-RU"/>
        </w:rPr>
        <w:t>Таблица 7</w:t>
      </w:r>
    </w:p>
    <w:p w:rsidR="00821D6E" w:rsidRPr="00086DE8" w:rsidRDefault="00821D6E" w:rsidP="00821D6E">
      <w:pPr>
        <w:widowControl w:val="0"/>
        <w:autoSpaceDE w:val="0"/>
        <w:autoSpaceDN w:val="0"/>
        <w:spacing w:after="0" w:line="240" w:lineRule="auto"/>
        <w:jc w:val="both"/>
        <w:rPr>
          <w:rFonts w:ascii="Times New Roman" w:eastAsia="Times New Roman" w:hAnsi="Times New Roman" w:cs="Times New Roman"/>
          <w:sz w:val="28"/>
          <w:szCs w:val="28"/>
          <w:lang w:eastAsia="ru-RU"/>
        </w:rPr>
      </w:pPr>
    </w:p>
    <w:p w:rsidR="00821D6E" w:rsidRPr="00086DE8" w:rsidRDefault="00821D6E" w:rsidP="00821D6E">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086DE8">
        <w:rPr>
          <w:rFonts w:ascii="Times New Roman" w:eastAsia="Times New Roman" w:hAnsi="Times New Roman" w:cs="Times New Roman"/>
          <w:sz w:val="28"/>
          <w:szCs w:val="28"/>
          <w:lang w:eastAsia="ru-RU"/>
        </w:rPr>
        <w:t>Объем добычи нефти, эксплуатационного бурения и ввода новых</w:t>
      </w:r>
      <w:r w:rsidR="001E5FD5">
        <w:rPr>
          <w:rFonts w:ascii="Times New Roman" w:eastAsia="Times New Roman" w:hAnsi="Times New Roman" w:cs="Times New Roman"/>
          <w:sz w:val="28"/>
          <w:szCs w:val="28"/>
          <w:lang w:eastAsia="ru-RU"/>
        </w:rPr>
        <w:t xml:space="preserve"> </w:t>
      </w:r>
      <w:r w:rsidRPr="00086DE8">
        <w:rPr>
          <w:rFonts w:ascii="Times New Roman" w:eastAsia="Times New Roman" w:hAnsi="Times New Roman" w:cs="Times New Roman"/>
          <w:sz w:val="28"/>
          <w:szCs w:val="28"/>
          <w:lang w:eastAsia="ru-RU"/>
        </w:rPr>
        <w:t>добывающих скважин</w:t>
      </w:r>
    </w:p>
    <w:p w:rsidR="009B3AE6" w:rsidRPr="00086DE8" w:rsidRDefault="009B3AE6" w:rsidP="00821D6E">
      <w:pPr>
        <w:widowControl w:val="0"/>
        <w:autoSpaceDE w:val="0"/>
        <w:autoSpaceDN w:val="0"/>
        <w:spacing w:after="0" w:line="240" w:lineRule="auto"/>
        <w:jc w:val="center"/>
        <w:rPr>
          <w:rFonts w:ascii="Times New Roman" w:eastAsia="Times New Roman" w:hAnsi="Times New Roman" w:cs="Times New Roman"/>
          <w:i/>
          <w:sz w:val="28"/>
          <w:szCs w:val="28"/>
          <w:lang w:eastAsia="ru-RU"/>
        </w:rPr>
      </w:pPr>
      <w:r w:rsidRPr="00086DE8">
        <w:rPr>
          <w:rFonts w:ascii="Times New Roman" w:eastAsia="Times New Roman" w:hAnsi="Times New Roman" w:cs="Times New Roman"/>
          <w:i/>
          <w:sz w:val="28"/>
          <w:szCs w:val="28"/>
          <w:lang w:eastAsia="ru-RU"/>
        </w:rPr>
        <w:t>(в прежней редакции)</w:t>
      </w:r>
    </w:p>
    <w:p w:rsidR="00821D6E" w:rsidRPr="00D423B2" w:rsidRDefault="00821D6E" w:rsidP="00821D6E">
      <w:pPr>
        <w:widowControl w:val="0"/>
        <w:autoSpaceDE w:val="0"/>
        <w:autoSpaceDN w:val="0"/>
        <w:spacing w:after="0" w:line="240" w:lineRule="auto"/>
        <w:jc w:val="both"/>
        <w:rPr>
          <w:rFonts w:ascii="Times New Roman" w:eastAsia="Times New Roman" w:hAnsi="Times New Roman" w:cs="Times New Roman"/>
          <w:sz w:val="16"/>
          <w:szCs w:val="16"/>
          <w:lang w:eastAsia="ru-RU"/>
        </w:rPr>
      </w:pPr>
    </w:p>
    <w:tbl>
      <w:tblPr>
        <w:tblW w:w="152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35"/>
        <w:gridCol w:w="1701"/>
        <w:gridCol w:w="646"/>
        <w:gridCol w:w="646"/>
        <w:gridCol w:w="646"/>
        <w:gridCol w:w="646"/>
        <w:gridCol w:w="646"/>
        <w:gridCol w:w="646"/>
        <w:gridCol w:w="646"/>
        <w:gridCol w:w="646"/>
        <w:gridCol w:w="646"/>
        <w:gridCol w:w="646"/>
        <w:gridCol w:w="646"/>
        <w:gridCol w:w="646"/>
        <w:gridCol w:w="646"/>
        <w:gridCol w:w="646"/>
        <w:gridCol w:w="646"/>
        <w:gridCol w:w="646"/>
        <w:gridCol w:w="907"/>
        <w:gridCol w:w="1134"/>
      </w:tblGrid>
      <w:tr w:rsidR="00D423B2" w:rsidRPr="00D423B2" w:rsidTr="00821D6E">
        <w:tc>
          <w:tcPr>
            <w:tcW w:w="2836" w:type="dxa"/>
            <w:gridSpan w:val="2"/>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Наименование показателя/годы</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2014</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2015</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2016</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2017</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2018</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2019</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2020</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2021</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2022</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2023</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2024</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2025</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2026</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2027</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2028</w:t>
            </w:r>
          </w:p>
        </w:tc>
        <w:tc>
          <w:tcPr>
            <w:tcW w:w="646"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2029</w:t>
            </w:r>
          </w:p>
        </w:tc>
        <w:tc>
          <w:tcPr>
            <w:tcW w:w="907"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2030</w:t>
            </w:r>
          </w:p>
        </w:tc>
        <w:tc>
          <w:tcPr>
            <w:tcW w:w="1134" w:type="dxa"/>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2014 - 2030</w:t>
            </w:r>
          </w:p>
        </w:tc>
      </w:tr>
      <w:tr w:rsidR="00D423B2" w:rsidRPr="00D423B2" w:rsidTr="00821D6E">
        <w:tc>
          <w:tcPr>
            <w:tcW w:w="1135" w:type="dxa"/>
            <w:vMerge w:val="restart"/>
          </w:tcPr>
          <w:p w:rsidR="00821D6E" w:rsidRPr="00D423B2" w:rsidRDefault="00821D6E" w:rsidP="00821D6E">
            <w:pPr>
              <w:widowControl w:val="0"/>
              <w:autoSpaceDE w:val="0"/>
              <w:autoSpaceDN w:val="0"/>
              <w:spacing w:after="0" w:line="240" w:lineRule="auto"/>
              <w:jc w:val="center"/>
              <w:outlineLvl w:val="4"/>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"Татнефть"</w:t>
            </w:r>
          </w:p>
        </w:tc>
        <w:tc>
          <w:tcPr>
            <w:tcW w:w="1701" w:type="dxa"/>
          </w:tcPr>
          <w:p w:rsidR="00821D6E" w:rsidRPr="00D423B2" w:rsidRDefault="00821D6E" w:rsidP="00821D6E">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Добыча нефти, тыс. тонн в том числе</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26 223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26 547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27 363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28 061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27 000</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459 194</w:t>
            </w:r>
          </w:p>
        </w:tc>
      </w:tr>
      <w:tr w:rsidR="00D423B2" w:rsidRPr="00D423B2" w:rsidTr="00821D6E">
        <w:tc>
          <w:tcPr>
            <w:tcW w:w="1135" w:type="dxa"/>
            <w:vMerge/>
          </w:tcPr>
          <w:p w:rsidR="00821D6E" w:rsidRPr="00D423B2" w:rsidRDefault="00821D6E" w:rsidP="00821D6E">
            <w:pPr>
              <w:rPr>
                <w:rFonts w:ascii="Times New Roman" w:hAnsi="Times New Roman" w:cs="Times New Roman"/>
                <w:sz w:val="16"/>
                <w:szCs w:val="16"/>
              </w:rPr>
            </w:pPr>
          </w:p>
        </w:tc>
        <w:tc>
          <w:tcPr>
            <w:tcW w:w="1701" w:type="dxa"/>
          </w:tcPr>
          <w:p w:rsidR="00821D6E" w:rsidRPr="00D423B2" w:rsidRDefault="00821D6E" w:rsidP="00821D6E">
            <w:pPr>
              <w:widowControl w:val="0"/>
              <w:autoSpaceDE w:val="0"/>
              <w:autoSpaceDN w:val="0"/>
              <w:spacing w:after="0" w:line="240" w:lineRule="auto"/>
              <w:ind w:left="283"/>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Ашальчинское месторождение СВН, тыс. тонн</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382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631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813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1 522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1 875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2 365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2 550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2 726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2 918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3 074</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3 189</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3 336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3 653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3 783</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3 940</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40 494</w:t>
            </w:r>
          </w:p>
        </w:tc>
      </w:tr>
      <w:tr w:rsidR="00D423B2" w:rsidRPr="00D423B2" w:rsidTr="00821D6E">
        <w:tc>
          <w:tcPr>
            <w:tcW w:w="1135" w:type="dxa"/>
            <w:vMerge/>
          </w:tcPr>
          <w:p w:rsidR="00821D6E" w:rsidRPr="00D423B2" w:rsidRDefault="00821D6E" w:rsidP="00821D6E">
            <w:pPr>
              <w:rPr>
                <w:rFonts w:ascii="Times New Roman" w:hAnsi="Times New Roman" w:cs="Times New Roman"/>
                <w:sz w:val="16"/>
                <w:szCs w:val="16"/>
              </w:rPr>
            </w:pPr>
          </w:p>
        </w:tc>
        <w:tc>
          <w:tcPr>
            <w:tcW w:w="1701" w:type="dxa"/>
          </w:tcPr>
          <w:p w:rsidR="00821D6E" w:rsidRPr="00D423B2" w:rsidRDefault="00821D6E" w:rsidP="00821D6E">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 xml:space="preserve">Эксплуатационное бурение </w:t>
            </w:r>
            <w:hyperlink w:anchor="P962" w:history="1">
              <w:r w:rsidRPr="00D423B2">
                <w:rPr>
                  <w:rFonts w:ascii="Times New Roman" w:eastAsia="Times New Roman" w:hAnsi="Times New Roman" w:cs="Times New Roman"/>
                  <w:sz w:val="16"/>
                  <w:szCs w:val="16"/>
                  <w:lang w:eastAsia="ru-RU"/>
                </w:rPr>
                <w:t>&lt;*&gt;</w:t>
              </w:r>
            </w:hyperlink>
            <w:r w:rsidRPr="00D423B2">
              <w:rPr>
                <w:rFonts w:ascii="Times New Roman" w:eastAsia="Times New Roman" w:hAnsi="Times New Roman" w:cs="Times New Roman"/>
                <w:sz w:val="16"/>
                <w:szCs w:val="16"/>
                <w:lang w:eastAsia="ru-RU"/>
              </w:rPr>
              <w:t>, тыс. метров</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410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663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640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456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637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478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607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436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523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466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481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462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482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485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492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501</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496</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8 715</w:t>
            </w:r>
          </w:p>
        </w:tc>
      </w:tr>
      <w:tr w:rsidR="00D423B2" w:rsidRPr="00D423B2" w:rsidTr="00821D6E">
        <w:tc>
          <w:tcPr>
            <w:tcW w:w="1135" w:type="dxa"/>
            <w:vMerge/>
          </w:tcPr>
          <w:p w:rsidR="00821D6E" w:rsidRPr="00D423B2" w:rsidRDefault="00821D6E" w:rsidP="00821D6E">
            <w:pPr>
              <w:rPr>
                <w:rFonts w:ascii="Times New Roman" w:hAnsi="Times New Roman" w:cs="Times New Roman"/>
                <w:sz w:val="16"/>
                <w:szCs w:val="16"/>
              </w:rPr>
            </w:pPr>
          </w:p>
        </w:tc>
        <w:tc>
          <w:tcPr>
            <w:tcW w:w="1701" w:type="dxa"/>
          </w:tcPr>
          <w:p w:rsidR="00821D6E" w:rsidRPr="00D423B2" w:rsidRDefault="00821D6E" w:rsidP="00821D6E">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Ввод новых добывающих скважин</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265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558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539</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424</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279</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401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322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288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312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320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333</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339</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5 757</w:t>
            </w:r>
          </w:p>
        </w:tc>
      </w:tr>
      <w:tr w:rsidR="00D423B2" w:rsidRPr="00D423B2" w:rsidTr="00821D6E">
        <w:tc>
          <w:tcPr>
            <w:tcW w:w="1135" w:type="dxa"/>
            <w:vMerge/>
          </w:tcPr>
          <w:p w:rsidR="00821D6E" w:rsidRPr="00D423B2" w:rsidRDefault="00821D6E" w:rsidP="00821D6E">
            <w:pPr>
              <w:rPr>
                <w:rFonts w:ascii="Times New Roman" w:hAnsi="Times New Roman" w:cs="Times New Roman"/>
                <w:sz w:val="16"/>
                <w:szCs w:val="16"/>
              </w:rPr>
            </w:pPr>
          </w:p>
        </w:tc>
        <w:tc>
          <w:tcPr>
            <w:tcW w:w="1701" w:type="dxa"/>
          </w:tcPr>
          <w:p w:rsidR="00821D6E" w:rsidRPr="00D423B2" w:rsidRDefault="00821D6E" w:rsidP="00821D6E">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Бурение вторых боковых стволов (БС, БГС)</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69</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90</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90</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1 311</w:t>
            </w:r>
          </w:p>
        </w:tc>
      </w:tr>
      <w:tr w:rsidR="00D423B2" w:rsidRPr="00D423B2" w:rsidTr="00821D6E">
        <w:tc>
          <w:tcPr>
            <w:tcW w:w="1135" w:type="dxa"/>
            <w:vMerge w:val="restart"/>
          </w:tcPr>
          <w:p w:rsidR="00821D6E" w:rsidRPr="00D423B2" w:rsidRDefault="00821D6E" w:rsidP="00821D6E">
            <w:pPr>
              <w:widowControl w:val="0"/>
              <w:autoSpaceDE w:val="0"/>
              <w:autoSpaceDN w:val="0"/>
              <w:spacing w:after="0" w:line="240" w:lineRule="auto"/>
              <w:jc w:val="center"/>
              <w:outlineLvl w:val="4"/>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МНК</w:t>
            </w:r>
          </w:p>
        </w:tc>
        <w:tc>
          <w:tcPr>
            <w:tcW w:w="1701" w:type="dxa"/>
          </w:tcPr>
          <w:p w:rsidR="00821D6E" w:rsidRPr="00D423B2" w:rsidRDefault="00821D6E" w:rsidP="00821D6E">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Добыча нефти, тыс. тонн</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6 863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6 521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6 428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6 318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6 234</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6 140</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6 057</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109 561</w:t>
            </w:r>
          </w:p>
        </w:tc>
      </w:tr>
      <w:tr w:rsidR="00D423B2" w:rsidRPr="00D423B2" w:rsidTr="00821D6E">
        <w:tc>
          <w:tcPr>
            <w:tcW w:w="1135" w:type="dxa"/>
            <w:vMerge/>
          </w:tcPr>
          <w:p w:rsidR="00821D6E" w:rsidRPr="00D423B2" w:rsidRDefault="00821D6E" w:rsidP="00821D6E">
            <w:pPr>
              <w:rPr>
                <w:rFonts w:ascii="Times New Roman" w:hAnsi="Times New Roman" w:cs="Times New Roman"/>
                <w:sz w:val="16"/>
                <w:szCs w:val="16"/>
              </w:rPr>
            </w:pPr>
          </w:p>
        </w:tc>
        <w:tc>
          <w:tcPr>
            <w:tcW w:w="1701" w:type="dxa"/>
          </w:tcPr>
          <w:p w:rsidR="00821D6E" w:rsidRPr="00D423B2" w:rsidRDefault="00821D6E" w:rsidP="00821D6E">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Эксплуатационное бурение, тыс. метров</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266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279</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282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288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274</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280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257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206</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205</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4 256</w:t>
            </w:r>
          </w:p>
        </w:tc>
      </w:tr>
      <w:tr w:rsidR="00D423B2" w:rsidRPr="00D423B2" w:rsidTr="00821D6E">
        <w:tc>
          <w:tcPr>
            <w:tcW w:w="1135" w:type="dxa"/>
            <w:vMerge/>
          </w:tcPr>
          <w:p w:rsidR="00821D6E" w:rsidRPr="00D423B2" w:rsidRDefault="00821D6E" w:rsidP="00821D6E">
            <w:pPr>
              <w:rPr>
                <w:rFonts w:ascii="Times New Roman" w:hAnsi="Times New Roman" w:cs="Times New Roman"/>
                <w:sz w:val="16"/>
                <w:szCs w:val="16"/>
              </w:rPr>
            </w:pPr>
          </w:p>
        </w:tc>
        <w:tc>
          <w:tcPr>
            <w:tcW w:w="1701" w:type="dxa"/>
          </w:tcPr>
          <w:p w:rsidR="00821D6E" w:rsidRPr="00D423B2" w:rsidRDefault="00821D6E" w:rsidP="00821D6E">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Ввод новых добывающих скважин</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258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244</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249</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225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244</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222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209</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199</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195</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198</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3 886</w:t>
            </w:r>
          </w:p>
        </w:tc>
      </w:tr>
      <w:tr w:rsidR="00D423B2" w:rsidRPr="00D423B2" w:rsidTr="00821D6E">
        <w:tc>
          <w:tcPr>
            <w:tcW w:w="1135" w:type="dxa"/>
            <w:vMerge w:val="restart"/>
          </w:tcPr>
          <w:p w:rsidR="00821D6E" w:rsidRPr="00D423B2" w:rsidRDefault="00821D6E" w:rsidP="00821D6E">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Всего по РТ</w:t>
            </w:r>
          </w:p>
        </w:tc>
        <w:tc>
          <w:tcPr>
            <w:tcW w:w="1701" w:type="dxa"/>
          </w:tcPr>
          <w:p w:rsidR="00821D6E" w:rsidRPr="00D423B2" w:rsidRDefault="00821D6E" w:rsidP="00821D6E">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Добыча нефти, тыс. тонн</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33 086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33 068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33 863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34 561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33 500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33 428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33 318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33 234</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33 140</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33 057</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568 755</w:t>
            </w:r>
          </w:p>
        </w:tc>
      </w:tr>
      <w:tr w:rsidR="00D423B2" w:rsidRPr="00D423B2" w:rsidTr="00821D6E">
        <w:tc>
          <w:tcPr>
            <w:tcW w:w="1135" w:type="dxa"/>
            <w:vMerge/>
          </w:tcPr>
          <w:p w:rsidR="00821D6E" w:rsidRPr="00D423B2" w:rsidRDefault="00821D6E" w:rsidP="00821D6E">
            <w:pPr>
              <w:rPr>
                <w:rFonts w:ascii="Times New Roman" w:hAnsi="Times New Roman" w:cs="Times New Roman"/>
                <w:sz w:val="16"/>
                <w:szCs w:val="16"/>
              </w:rPr>
            </w:pPr>
          </w:p>
        </w:tc>
        <w:tc>
          <w:tcPr>
            <w:tcW w:w="1701" w:type="dxa"/>
          </w:tcPr>
          <w:p w:rsidR="00821D6E" w:rsidRPr="00D423B2" w:rsidRDefault="00821D6E" w:rsidP="00821D6E">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Эксплуатационное бурение, тыс. метров</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676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942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917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738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925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752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887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683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794</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738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699</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698</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704</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707</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701</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12 971</w:t>
            </w:r>
          </w:p>
        </w:tc>
      </w:tr>
      <w:tr w:rsidR="00D423B2" w:rsidRPr="00D423B2" w:rsidTr="00821D6E">
        <w:tc>
          <w:tcPr>
            <w:tcW w:w="1135" w:type="dxa"/>
            <w:vMerge/>
          </w:tcPr>
          <w:p w:rsidR="00821D6E" w:rsidRPr="00D423B2" w:rsidRDefault="00821D6E" w:rsidP="00821D6E">
            <w:pPr>
              <w:rPr>
                <w:rFonts w:ascii="Times New Roman" w:hAnsi="Times New Roman" w:cs="Times New Roman"/>
                <w:sz w:val="16"/>
                <w:szCs w:val="16"/>
              </w:rPr>
            </w:pPr>
          </w:p>
        </w:tc>
        <w:tc>
          <w:tcPr>
            <w:tcW w:w="1701" w:type="dxa"/>
          </w:tcPr>
          <w:p w:rsidR="00821D6E" w:rsidRPr="00D423B2" w:rsidRDefault="00821D6E" w:rsidP="00821D6E">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Ввод новых добывающих скважин</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506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806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797</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475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673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525</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643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461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566</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509</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533</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510</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521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521</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532</w:t>
            </w:r>
          </w:p>
        </w:tc>
        <w:tc>
          <w:tcPr>
            <w:tcW w:w="646"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528</w:t>
            </w:r>
          </w:p>
        </w:tc>
        <w:tc>
          <w:tcPr>
            <w:tcW w:w="907"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537</w:t>
            </w:r>
          </w:p>
        </w:tc>
        <w:tc>
          <w:tcPr>
            <w:tcW w:w="1134" w:type="dxa"/>
          </w:tcPr>
          <w:p w:rsidR="00821D6E" w:rsidRPr="00D423B2" w:rsidRDefault="00821D6E" w:rsidP="00821D6E">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9 643</w:t>
            </w:r>
          </w:p>
        </w:tc>
      </w:tr>
    </w:tbl>
    <w:p w:rsidR="00821D6E" w:rsidRPr="001E5FD5" w:rsidRDefault="00821D6E" w:rsidP="00821D6E">
      <w:pPr>
        <w:widowControl w:val="0"/>
        <w:autoSpaceDE w:val="0"/>
        <w:autoSpaceDN w:val="0"/>
        <w:spacing w:after="0" w:line="240" w:lineRule="auto"/>
        <w:jc w:val="both"/>
        <w:rPr>
          <w:rFonts w:ascii="Times New Roman" w:eastAsia="Times New Roman" w:hAnsi="Times New Roman" w:cs="Times New Roman"/>
          <w:sz w:val="2"/>
          <w:szCs w:val="16"/>
          <w:lang w:eastAsia="ru-RU"/>
        </w:rPr>
      </w:pPr>
    </w:p>
    <w:p w:rsidR="00821D6E" w:rsidRPr="00D423B2" w:rsidRDefault="00821D6E" w:rsidP="00821D6E">
      <w:pPr>
        <w:widowControl w:val="0"/>
        <w:autoSpaceDE w:val="0"/>
        <w:autoSpaceDN w:val="0"/>
        <w:spacing w:after="0" w:line="240" w:lineRule="auto"/>
        <w:ind w:firstLine="540"/>
        <w:jc w:val="both"/>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p w:rsidR="00086DE8" w:rsidRPr="0044779F" w:rsidRDefault="00821D6E" w:rsidP="0044779F">
      <w:pPr>
        <w:widowControl w:val="0"/>
        <w:autoSpaceDE w:val="0"/>
        <w:autoSpaceDN w:val="0"/>
        <w:spacing w:before="220" w:after="0" w:line="240" w:lineRule="auto"/>
        <w:ind w:firstLine="540"/>
        <w:jc w:val="both"/>
        <w:rPr>
          <w:rFonts w:ascii="Times New Roman" w:eastAsia="Times New Roman" w:hAnsi="Times New Roman" w:cs="Times New Roman"/>
          <w:sz w:val="16"/>
          <w:szCs w:val="16"/>
          <w:lang w:eastAsia="ru-RU"/>
        </w:rPr>
      </w:pPr>
      <w:bookmarkStart w:id="14" w:name="P962"/>
      <w:bookmarkEnd w:id="14"/>
      <w:r w:rsidRPr="00D423B2">
        <w:rPr>
          <w:rFonts w:ascii="Times New Roman" w:eastAsia="Times New Roman" w:hAnsi="Times New Roman" w:cs="Times New Roman"/>
          <w:sz w:val="16"/>
          <w:szCs w:val="16"/>
          <w:lang w:eastAsia="ru-RU"/>
        </w:rPr>
        <w:t xml:space="preserve">&lt;*&gt; - с учетом бурения на </w:t>
      </w:r>
      <w:r w:rsidR="0044779F">
        <w:rPr>
          <w:rFonts w:ascii="Times New Roman" w:eastAsia="Times New Roman" w:hAnsi="Times New Roman" w:cs="Times New Roman"/>
          <w:sz w:val="16"/>
          <w:szCs w:val="16"/>
          <w:lang w:eastAsia="ru-RU"/>
        </w:rPr>
        <w:t>СВН</w:t>
      </w:r>
    </w:p>
    <w:p w:rsidR="001E5FD5" w:rsidRDefault="001E5FD5">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8869B5" w:rsidRPr="0044779F" w:rsidRDefault="00501CCA" w:rsidP="008869B5">
      <w:pPr>
        <w:autoSpaceDE w:val="0"/>
        <w:autoSpaceDN w:val="0"/>
        <w:adjustRightInd w:val="0"/>
        <w:spacing w:after="0" w:line="240" w:lineRule="auto"/>
        <w:jc w:val="right"/>
        <w:outlineLvl w:val="3"/>
        <w:rPr>
          <w:rFonts w:ascii="Times New Roman" w:eastAsia="Times New Roman" w:hAnsi="Times New Roman" w:cs="Times New Roman"/>
          <w:sz w:val="28"/>
          <w:szCs w:val="28"/>
          <w:lang w:eastAsia="ru-RU"/>
        </w:rPr>
      </w:pPr>
      <w:r w:rsidRPr="0044779F">
        <w:rPr>
          <w:rFonts w:ascii="Times New Roman" w:eastAsia="Times New Roman" w:hAnsi="Times New Roman" w:cs="Times New Roman"/>
          <w:sz w:val="28"/>
          <w:szCs w:val="28"/>
          <w:lang w:eastAsia="ru-RU"/>
        </w:rPr>
        <w:t xml:space="preserve">Таблица </w:t>
      </w:r>
      <w:r w:rsidR="008869B5" w:rsidRPr="0044779F">
        <w:rPr>
          <w:rFonts w:ascii="Times New Roman" w:eastAsia="Times New Roman" w:hAnsi="Times New Roman" w:cs="Times New Roman"/>
          <w:sz w:val="28"/>
          <w:szCs w:val="28"/>
          <w:lang w:eastAsia="ru-RU"/>
        </w:rPr>
        <w:t>7</w:t>
      </w:r>
    </w:p>
    <w:p w:rsidR="008869B5" w:rsidRPr="0044779F" w:rsidRDefault="008869B5" w:rsidP="008869B5">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44779F">
        <w:rPr>
          <w:rFonts w:ascii="Times New Roman" w:eastAsia="Times New Roman" w:hAnsi="Times New Roman" w:cs="Times New Roman"/>
          <w:sz w:val="28"/>
          <w:szCs w:val="28"/>
          <w:lang w:eastAsia="ru-RU"/>
        </w:rPr>
        <w:t>Объем добычи нефти, эксплуатационного бурения и ввода новых добывающих скважин</w:t>
      </w:r>
    </w:p>
    <w:p w:rsidR="00501CCA" w:rsidRPr="0044779F" w:rsidRDefault="00315D58" w:rsidP="00315D58">
      <w:pPr>
        <w:autoSpaceDE w:val="0"/>
        <w:autoSpaceDN w:val="0"/>
        <w:adjustRightInd w:val="0"/>
        <w:spacing w:after="0" w:line="240" w:lineRule="auto"/>
        <w:jc w:val="center"/>
        <w:rPr>
          <w:rFonts w:ascii="Times New Roman" w:eastAsia="Times New Roman" w:hAnsi="Times New Roman" w:cs="Times New Roman"/>
          <w:i/>
          <w:sz w:val="28"/>
          <w:szCs w:val="28"/>
          <w:lang w:eastAsia="ru-RU"/>
        </w:rPr>
      </w:pPr>
      <w:r w:rsidRPr="0044779F">
        <w:rPr>
          <w:rFonts w:ascii="Times New Roman" w:eastAsia="Times New Roman" w:hAnsi="Times New Roman" w:cs="Times New Roman"/>
          <w:i/>
          <w:sz w:val="28"/>
          <w:szCs w:val="28"/>
          <w:lang w:eastAsia="ru-RU"/>
        </w:rPr>
        <w:t>(в новой редакции)</w:t>
      </w:r>
    </w:p>
    <w:p w:rsidR="00501CCA" w:rsidRDefault="00501CCA" w:rsidP="006E1942">
      <w:pPr>
        <w:widowControl w:val="0"/>
        <w:autoSpaceDE w:val="0"/>
        <w:autoSpaceDN w:val="0"/>
        <w:spacing w:after="0" w:line="240" w:lineRule="auto"/>
        <w:jc w:val="right"/>
        <w:outlineLvl w:val="3"/>
        <w:rPr>
          <w:rFonts w:ascii="Times New Roman" w:eastAsia="Times New Roman" w:hAnsi="Times New Roman" w:cs="Times New Roman"/>
          <w:szCs w:val="20"/>
          <w:lang w:eastAsia="ru-RU"/>
        </w:rPr>
      </w:pPr>
    </w:p>
    <w:tbl>
      <w:tblPr>
        <w:tblW w:w="1530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1353"/>
        <w:gridCol w:w="3326"/>
        <w:gridCol w:w="947"/>
        <w:gridCol w:w="948"/>
        <w:gridCol w:w="664"/>
        <w:gridCol w:w="665"/>
        <w:gridCol w:w="665"/>
        <w:gridCol w:w="665"/>
        <w:gridCol w:w="665"/>
        <w:gridCol w:w="665"/>
        <w:gridCol w:w="665"/>
        <w:gridCol w:w="665"/>
        <w:gridCol w:w="665"/>
        <w:gridCol w:w="665"/>
        <w:gridCol w:w="665"/>
        <w:gridCol w:w="665"/>
        <w:gridCol w:w="747"/>
      </w:tblGrid>
      <w:tr w:rsidR="00315D58" w:rsidRPr="00315D58" w:rsidTr="001E5FD5">
        <w:trPr>
          <w:trHeight w:val="20"/>
        </w:trPr>
        <w:tc>
          <w:tcPr>
            <w:tcW w:w="4679" w:type="dxa"/>
            <w:gridSpan w:val="2"/>
          </w:tcPr>
          <w:p w:rsidR="00315D58" w:rsidRPr="00315D58" w:rsidRDefault="00315D58" w:rsidP="00315D58">
            <w:pPr>
              <w:autoSpaceDE w:val="0"/>
              <w:autoSpaceDN w:val="0"/>
              <w:adjustRightInd w:val="0"/>
              <w:spacing w:before="60" w:after="6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Наименование показателя / годы</w:t>
            </w:r>
          </w:p>
        </w:tc>
        <w:tc>
          <w:tcPr>
            <w:tcW w:w="9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2017</w:t>
            </w:r>
          </w:p>
        </w:tc>
        <w:tc>
          <w:tcPr>
            <w:tcW w:w="948"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2018</w:t>
            </w:r>
          </w:p>
        </w:tc>
        <w:tc>
          <w:tcPr>
            <w:tcW w:w="664"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2019</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2020</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2021</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2022</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2023</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2024</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2025</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2026</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2027</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2028</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2029</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2030</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2017- 2030</w:t>
            </w:r>
          </w:p>
        </w:tc>
      </w:tr>
      <w:tr w:rsidR="00315D58" w:rsidRPr="00315D58" w:rsidTr="001E5FD5">
        <w:trPr>
          <w:trHeight w:val="20"/>
        </w:trPr>
        <w:tc>
          <w:tcPr>
            <w:tcW w:w="1353" w:type="dxa"/>
            <w:vMerge w:val="restart"/>
          </w:tcPr>
          <w:p w:rsidR="00315D58" w:rsidRPr="00315D58" w:rsidRDefault="00315D58" w:rsidP="00315D58">
            <w:pPr>
              <w:autoSpaceDE w:val="0"/>
              <w:autoSpaceDN w:val="0"/>
              <w:adjustRightInd w:val="0"/>
              <w:spacing w:after="0" w:line="240" w:lineRule="auto"/>
              <w:jc w:val="center"/>
              <w:outlineLvl w:val="4"/>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ПАО «Татнефть»</w:t>
            </w:r>
          </w:p>
        </w:tc>
        <w:tc>
          <w:tcPr>
            <w:tcW w:w="3326" w:type="dxa"/>
          </w:tcPr>
          <w:p w:rsidR="00315D58" w:rsidRPr="00315D58" w:rsidRDefault="00315D58" w:rsidP="00315D58">
            <w:pPr>
              <w:autoSpaceDE w:val="0"/>
              <w:autoSpaceDN w:val="0"/>
              <w:adjustRightInd w:val="0"/>
              <w:spacing w:before="60" w:after="60" w:line="240" w:lineRule="auto"/>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Добыча нефти, тыс. тонн в том числе</w:t>
            </w:r>
          </w:p>
        </w:tc>
        <w:tc>
          <w:tcPr>
            <w:tcW w:w="9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28 375</w:t>
            </w:r>
          </w:p>
        </w:tc>
        <w:tc>
          <w:tcPr>
            <w:tcW w:w="948"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28 988</w:t>
            </w:r>
          </w:p>
        </w:tc>
        <w:tc>
          <w:tcPr>
            <w:tcW w:w="664"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28 989</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val="en-US" w:eastAsia="ru-RU"/>
              </w:rPr>
              <w:t>32 472</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33 474</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34 358</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35 088</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35 581</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35 766</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35 683</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35 365</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34 681</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33 991</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33 271</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466 082</w:t>
            </w:r>
          </w:p>
        </w:tc>
      </w:tr>
      <w:tr w:rsidR="00315D58" w:rsidRPr="00315D58" w:rsidTr="001E5FD5">
        <w:trPr>
          <w:trHeight w:val="20"/>
        </w:trPr>
        <w:tc>
          <w:tcPr>
            <w:tcW w:w="1353" w:type="dxa"/>
            <w:vMerge/>
          </w:tcPr>
          <w:p w:rsidR="00315D58" w:rsidRPr="00315D58" w:rsidRDefault="00315D58" w:rsidP="00315D58">
            <w:pPr>
              <w:spacing w:after="0" w:line="240" w:lineRule="auto"/>
              <w:rPr>
                <w:rFonts w:ascii="Times New Roman" w:eastAsia="Times New Roman" w:hAnsi="Times New Roman" w:cs="Times New Roman"/>
                <w:sz w:val="20"/>
                <w:szCs w:val="20"/>
                <w:lang w:eastAsia="ru-RU"/>
              </w:rPr>
            </w:pPr>
          </w:p>
        </w:tc>
        <w:tc>
          <w:tcPr>
            <w:tcW w:w="3326" w:type="dxa"/>
          </w:tcPr>
          <w:p w:rsidR="00315D58" w:rsidRPr="00315D58" w:rsidRDefault="00315D58" w:rsidP="00315D58">
            <w:pPr>
              <w:autoSpaceDE w:val="0"/>
              <w:autoSpaceDN w:val="0"/>
              <w:adjustRightInd w:val="0"/>
              <w:spacing w:before="60" w:after="60" w:line="240" w:lineRule="auto"/>
              <w:ind w:left="222" w:right="-62"/>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добыча СВН,</w:t>
            </w:r>
            <w:r w:rsidRPr="00315D58">
              <w:rPr>
                <w:rFonts w:ascii="Times New Roman" w:eastAsia="Times New Roman" w:hAnsi="Times New Roman" w:cs="Times New Roman"/>
                <w:sz w:val="20"/>
                <w:szCs w:val="20"/>
                <w:lang w:eastAsia="ru-RU"/>
              </w:rPr>
              <w:br/>
              <w:t>тыс. тонн</w:t>
            </w:r>
          </w:p>
        </w:tc>
        <w:tc>
          <w:tcPr>
            <w:tcW w:w="9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1620</w:t>
            </w:r>
          </w:p>
        </w:tc>
        <w:tc>
          <w:tcPr>
            <w:tcW w:w="948"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1 949</w:t>
            </w:r>
          </w:p>
        </w:tc>
        <w:tc>
          <w:tcPr>
            <w:tcW w:w="664"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2 667</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3 187</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3 191</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3 086</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3 082</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3 078</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2 994</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2 940</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2 894</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2 618</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2 349</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2 075</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37 730</w:t>
            </w:r>
          </w:p>
        </w:tc>
      </w:tr>
      <w:tr w:rsidR="00315D58" w:rsidRPr="00315D58" w:rsidTr="001E5FD5">
        <w:trPr>
          <w:trHeight w:val="20"/>
        </w:trPr>
        <w:tc>
          <w:tcPr>
            <w:tcW w:w="1353" w:type="dxa"/>
            <w:vMerge/>
          </w:tcPr>
          <w:p w:rsidR="00315D58" w:rsidRPr="00315D58" w:rsidRDefault="00315D58" w:rsidP="00315D58">
            <w:pPr>
              <w:spacing w:after="0" w:line="240" w:lineRule="auto"/>
              <w:rPr>
                <w:rFonts w:ascii="Times New Roman" w:eastAsia="Times New Roman" w:hAnsi="Times New Roman" w:cs="Times New Roman"/>
                <w:sz w:val="20"/>
                <w:szCs w:val="20"/>
                <w:lang w:eastAsia="ru-RU"/>
              </w:rPr>
            </w:pPr>
          </w:p>
        </w:tc>
        <w:tc>
          <w:tcPr>
            <w:tcW w:w="3326" w:type="dxa"/>
          </w:tcPr>
          <w:p w:rsidR="00315D58" w:rsidRPr="00315D58" w:rsidRDefault="00315D58" w:rsidP="00315D58">
            <w:pPr>
              <w:autoSpaceDE w:val="0"/>
              <w:autoSpaceDN w:val="0"/>
              <w:adjustRightInd w:val="0"/>
              <w:spacing w:before="60" w:after="60" w:line="240" w:lineRule="auto"/>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 xml:space="preserve">Эксплуатационное бурение </w:t>
            </w:r>
            <w:hyperlink w:anchor="P962" w:history="1">
              <w:r w:rsidRPr="00315D58">
                <w:rPr>
                  <w:rFonts w:ascii="Times New Roman" w:eastAsia="Times New Roman" w:hAnsi="Times New Roman" w:cs="Times New Roman"/>
                  <w:color w:val="000000"/>
                  <w:sz w:val="20"/>
                  <w:szCs w:val="20"/>
                  <w:lang w:eastAsia="ru-RU"/>
                </w:rPr>
                <w:t>*</w:t>
              </w:r>
            </w:hyperlink>
            <w:r w:rsidRPr="00315D58">
              <w:rPr>
                <w:rFonts w:ascii="Times New Roman" w:eastAsia="Times New Roman" w:hAnsi="Times New Roman" w:cs="Times New Roman"/>
                <w:sz w:val="20"/>
                <w:szCs w:val="20"/>
                <w:lang w:eastAsia="ru-RU"/>
              </w:rPr>
              <w:t>, тыс. метров</w:t>
            </w:r>
          </w:p>
        </w:tc>
        <w:tc>
          <w:tcPr>
            <w:tcW w:w="9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927</w:t>
            </w:r>
          </w:p>
        </w:tc>
        <w:tc>
          <w:tcPr>
            <w:tcW w:w="948"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585</w:t>
            </w:r>
          </w:p>
        </w:tc>
        <w:tc>
          <w:tcPr>
            <w:tcW w:w="664"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898</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1 519</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1 563</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1 530</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1 499</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1 440</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1 323</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1 020</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888</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773</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724</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681</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15 370</w:t>
            </w:r>
          </w:p>
        </w:tc>
      </w:tr>
      <w:tr w:rsidR="00315D58" w:rsidRPr="00315D58" w:rsidTr="001E5FD5">
        <w:trPr>
          <w:trHeight w:val="20"/>
        </w:trPr>
        <w:tc>
          <w:tcPr>
            <w:tcW w:w="1353" w:type="dxa"/>
            <w:vMerge/>
          </w:tcPr>
          <w:p w:rsidR="00315D58" w:rsidRPr="00315D58" w:rsidRDefault="00315D58" w:rsidP="00315D58">
            <w:pPr>
              <w:spacing w:after="0" w:line="240" w:lineRule="auto"/>
              <w:rPr>
                <w:rFonts w:ascii="Times New Roman" w:eastAsia="Times New Roman" w:hAnsi="Times New Roman" w:cs="Times New Roman"/>
                <w:sz w:val="20"/>
                <w:szCs w:val="20"/>
                <w:lang w:eastAsia="ru-RU"/>
              </w:rPr>
            </w:pPr>
          </w:p>
        </w:tc>
        <w:tc>
          <w:tcPr>
            <w:tcW w:w="3326" w:type="dxa"/>
          </w:tcPr>
          <w:p w:rsidR="00315D58" w:rsidRPr="00315D58" w:rsidRDefault="00315D58" w:rsidP="00315D58">
            <w:pPr>
              <w:autoSpaceDE w:val="0"/>
              <w:autoSpaceDN w:val="0"/>
              <w:adjustRightInd w:val="0"/>
              <w:spacing w:before="60" w:after="60" w:line="240" w:lineRule="auto"/>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Ввод новых добывающих скважин</w:t>
            </w:r>
          </w:p>
        </w:tc>
        <w:tc>
          <w:tcPr>
            <w:tcW w:w="9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839</w:t>
            </w:r>
          </w:p>
        </w:tc>
        <w:tc>
          <w:tcPr>
            <w:tcW w:w="948"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410</w:t>
            </w:r>
          </w:p>
        </w:tc>
        <w:tc>
          <w:tcPr>
            <w:tcW w:w="664"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814</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1 125</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1 099</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1 072</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1 101</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1 032</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904</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791</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628</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535</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504</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481</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11 335</w:t>
            </w:r>
          </w:p>
        </w:tc>
      </w:tr>
      <w:tr w:rsidR="00315D58" w:rsidRPr="00315D58" w:rsidTr="001E5FD5">
        <w:trPr>
          <w:trHeight w:val="20"/>
        </w:trPr>
        <w:tc>
          <w:tcPr>
            <w:tcW w:w="1353" w:type="dxa"/>
            <w:vMerge/>
          </w:tcPr>
          <w:p w:rsidR="00315D58" w:rsidRPr="00315D58" w:rsidRDefault="00315D58" w:rsidP="00315D58">
            <w:pPr>
              <w:spacing w:after="0" w:line="240" w:lineRule="auto"/>
              <w:rPr>
                <w:rFonts w:ascii="Times New Roman" w:eastAsia="Times New Roman" w:hAnsi="Times New Roman" w:cs="Times New Roman"/>
                <w:sz w:val="20"/>
                <w:szCs w:val="20"/>
                <w:lang w:eastAsia="ru-RU"/>
              </w:rPr>
            </w:pPr>
          </w:p>
        </w:tc>
        <w:tc>
          <w:tcPr>
            <w:tcW w:w="3326" w:type="dxa"/>
          </w:tcPr>
          <w:p w:rsidR="00315D58" w:rsidRPr="00315D58" w:rsidRDefault="00315D58" w:rsidP="00315D58">
            <w:pPr>
              <w:autoSpaceDE w:val="0"/>
              <w:autoSpaceDN w:val="0"/>
              <w:adjustRightInd w:val="0"/>
              <w:spacing w:before="60" w:after="60" w:line="240" w:lineRule="auto"/>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Бурение вторых боковых стволов (БС, БГС)</w:t>
            </w:r>
          </w:p>
        </w:tc>
        <w:tc>
          <w:tcPr>
            <w:tcW w:w="9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69</w:t>
            </w:r>
          </w:p>
        </w:tc>
        <w:tc>
          <w:tcPr>
            <w:tcW w:w="948"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105</w:t>
            </w:r>
          </w:p>
        </w:tc>
        <w:tc>
          <w:tcPr>
            <w:tcW w:w="664"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57</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299</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313</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351</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364</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387</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383</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386</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358</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377</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389</w:t>
            </w:r>
          </w:p>
        </w:tc>
        <w:tc>
          <w:tcPr>
            <w:tcW w:w="665"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385</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4 223</w:t>
            </w:r>
          </w:p>
        </w:tc>
      </w:tr>
      <w:tr w:rsidR="00315D58" w:rsidRPr="00315D58" w:rsidTr="001E5FD5">
        <w:trPr>
          <w:trHeight w:val="20"/>
        </w:trPr>
        <w:tc>
          <w:tcPr>
            <w:tcW w:w="1353" w:type="dxa"/>
            <w:vMerge w:val="restart"/>
          </w:tcPr>
          <w:p w:rsidR="00315D58" w:rsidRPr="00315D58" w:rsidRDefault="00315D58" w:rsidP="00315D58">
            <w:pPr>
              <w:autoSpaceDE w:val="0"/>
              <w:autoSpaceDN w:val="0"/>
              <w:adjustRightInd w:val="0"/>
              <w:spacing w:after="0" w:line="240" w:lineRule="auto"/>
              <w:jc w:val="center"/>
              <w:outlineLvl w:val="4"/>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МНК</w:t>
            </w:r>
          </w:p>
        </w:tc>
        <w:tc>
          <w:tcPr>
            <w:tcW w:w="3326" w:type="dxa"/>
          </w:tcPr>
          <w:p w:rsidR="00315D58" w:rsidRPr="00315D58" w:rsidRDefault="00315D58" w:rsidP="00315D58">
            <w:pPr>
              <w:autoSpaceDE w:val="0"/>
              <w:autoSpaceDN w:val="0"/>
              <w:adjustRightInd w:val="0"/>
              <w:spacing w:before="60" w:after="60" w:line="240" w:lineRule="auto"/>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Добыча нефти,</w:t>
            </w:r>
            <w:r w:rsidRPr="00315D58">
              <w:rPr>
                <w:rFonts w:ascii="Times New Roman" w:eastAsia="Times New Roman" w:hAnsi="Times New Roman" w:cs="Times New Roman"/>
                <w:sz w:val="20"/>
                <w:szCs w:val="20"/>
                <w:lang w:eastAsia="ru-RU"/>
              </w:rPr>
              <w:br/>
              <w:t>тыс. тонн</w:t>
            </w:r>
          </w:p>
        </w:tc>
        <w:tc>
          <w:tcPr>
            <w:tcW w:w="947"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7 201</w:t>
            </w:r>
          </w:p>
        </w:tc>
        <w:tc>
          <w:tcPr>
            <w:tcW w:w="948"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7 139</w:t>
            </w:r>
          </w:p>
        </w:tc>
        <w:tc>
          <w:tcPr>
            <w:tcW w:w="664"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6 889</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6 801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6 706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6 583</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6 484</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6 391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6 351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6 342</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6 241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6 193</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6 133</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6 057</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91 511</w:t>
            </w:r>
          </w:p>
        </w:tc>
      </w:tr>
      <w:tr w:rsidR="00315D58" w:rsidRPr="00315D58" w:rsidTr="001E5FD5">
        <w:trPr>
          <w:trHeight w:val="20"/>
        </w:trPr>
        <w:tc>
          <w:tcPr>
            <w:tcW w:w="1353" w:type="dxa"/>
            <w:vMerge/>
          </w:tcPr>
          <w:p w:rsidR="00315D58" w:rsidRPr="00315D58" w:rsidRDefault="00315D58" w:rsidP="00315D58">
            <w:pPr>
              <w:spacing w:after="0" w:line="240" w:lineRule="auto"/>
              <w:rPr>
                <w:rFonts w:ascii="Times New Roman" w:eastAsia="Times New Roman" w:hAnsi="Times New Roman" w:cs="Times New Roman"/>
                <w:sz w:val="20"/>
                <w:szCs w:val="20"/>
                <w:lang w:eastAsia="ru-RU"/>
              </w:rPr>
            </w:pPr>
          </w:p>
        </w:tc>
        <w:tc>
          <w:tcPr>
            <w:tcW w:w="3326" w:type="dxa"/>
          </w:tcPr>
          <w:p w:rsidR="00315D58" w:rsidRPr="00315D58" w:rsidRDefault="00315D58" w:rsidP="00315D58">
            <w:pPr>
              <w:autoSpaceDE w:val="0"/>
              <w:autoSpaceDN w:val="0"/>
              <w:adjustRightInd w:val="0"/>
              <w:spacing w:before="60" w:after="60" w:line="240" w:lineRule="auto"/>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Эксплуатационное бурение, тыс. метров</w:t>
            </w:r>
          </w:p>
        </w:tc>
        <w:tc>
          <w:tcPr>
            <w:tcW w:w="947"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344</w:t>
            </w:r>
          </w:p>
        </w:tc>
        <w:tc>
          <w:tcPr>
            <w:tcW w:w="948"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326</w:t>
            </w:r>
          </w:p>
        </w:tc>
        <w:tc>
          <w:tcPr>
            <w:tcW w:w="664"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264</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225</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232</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233</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218</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228</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216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218</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205</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211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183</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3 309</w:t>
            </w:r>
          </w:p>
        </w:tc>
      </w:tr>
      <w:tr w:rsidR="00315D58" w:rsidRPr="00315D58" w:rsidTr="001E5FD5">
        <w:trPr>
          <w:trHeight w:val="20"/>
        </w:trPr>
        <w:tc>
          <w:tcPr>
            <w:tcW w:w="1353" w:type="dxa"/>
            <w:vMerge/>
          </w:tcPr>
          <w:p w:rsidR="00315D58" w:rsidRPr="00315D58" w:rsidRDefault="00315D58" w:rsidP="00315D58">
            <w:pPr>
              <w:spacing w:after="0" w:line="240" w:lineRule="auto"/>
              <w:rPr>
                <w:rFonts w:ascii="Times New Roman" w:eastAsia="Times New Roman" w:hAnsi="Times New Roman" w:cs="Times New Roman"/>
                <w:sz w:val="20"/>
                <w:szCs w:val="20"/>
                <w:lang w:eastAsia="ru-RU"/>
              </w:rPr>
            </w:pPr>
          </w:p>
        </w:tc>
        <w:tc>
          <w:tcPr>
            <w:tcW w:w="3326" w:type="dxa"/>
          </w:tcPr>
          <w:p w:rsidR="00315D58" w:rsidRPr="00315D58" w:rsidRDefault="00315D58" w:rsidP="00315D58">
            <w:pPr>
              <w:autoSpaceDE w:val="0"/>
              <w:autoSpaceDN w:val="0"/>
              <w:adjustRightInd w:val="0"/>
              <w:spacing w:before="60" w:after="60" w:line="240" w:lineRule="auto"/>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Ввод новых добывающих скважин</w:t>
            </w:r>
          </w:p>
        </w:tc>
        <w:tc>
          <w:tcPr>
            <w:tcW w:w="947"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205</w:t>
            </w:r>
          </w:p>
        </w:tc>
        <w:tc>
          <w:tcPr>
            <w:tcW w:w="948"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245</w:t>
            </w:r>
          </w:p>
        </w:tc>
        <w:tc>
          <w:tcPr>
            <w:tcW w:w="664"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190</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177</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163</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184</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190</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179</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191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186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176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171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176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146</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2 579</w:t>
            </w:r>
          </w:p>
        </w:tc>
      </w:tr>
      <w:tr w:rsidR="00315D58" w:rsidRPr="00315D58" w:rsidTr="001E5FD5">
        <w:trPr>
          <w:trHeight w:val="20"/>
        </w:trPr>
        <w:tc>
          <w:tcPr>
            <w:tcW w:w="1353" w:type="dxa"/>
            <w:vMerge w:val="restart"/>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Всего по РТ</w:t>
            </w:r>
          </w:p>
        </w:tc>
        <w:tc>
          <w:tcPr>
            <w:tcW w:w="3326" w:type="dxa"/>
          </w:tcPr>
          <w:p w:rsidR="00315D58" w:rsidRPr="00315D58" w:rsidRDefault="00315D58" w:rsidP="00315D58">
            <w:pPr>
              <w:autoSpaceDE w:val="0"/>
              <w:autoSpaceDN w:val="0"/>
              <w:adjustRightInd w:val="0"/>
              <w:spacing w:before="60" w:after="60" w:line="240" w:lineRule="auto"/>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 xml:space="preserve">Добыча нефти, </w:t>
            </w:r>
            <w:r w:rsidRPr="00315D58">
              <w:rPr>
                <w:rFonts w:ascii="Times New Roman" w:eastAsia="Times New Roman" w:hAnsi="Times New Roman" w:cs="Times New Roman"/>
                <w:sz w:val="20"/>
                <w:szCs w:val="20"/>
                <w:lang w:eastAsia="ru-RU"/>
              </w:rPr>
              <w:br/>
              <w:t>тыс. тонн</w:t>
            </w:r>
          </w:p>
        </w:tc>
        <w:tc>
          <w:tcPr>
            <w:tcW w:w="947"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val="en-US" w:eastAsia="ru-RU"/>
              </w:rPr>
            </w:pPr>
            <w:r w:rsidRPr="00315D58">
              <w:rPr>
                <w:rFonts w:ascii="Times New Roman" w:eastAsia="Times New Roman" w:hAnsi="Times New Roman" w:cs="Times New Roman"/>
                <w:color w:val="000000"/>
                <w:sz w:val="20"/>
                <w:szCs w:val="20"/>
                <w:lang w:eastAsia="ru-RU"/>
              </w:rPr>
              <w:t>35 701,1</w:t>
            </w:r>
            <w:r w:rsidRPr="00315D58">
              <w:rPr>
                <w:rFonts w:ascii="Times New Roman" w:eastAsia="Times New Roman" w:hAnsi="Times New Roman" w:cs="Times New Roman"/>
                <w:color w:val="000000"/>
                <w:sz w:val="20"/>
                <w:szCs w:val="20"/>
                <w:lang w:val="en-US" w:eastAsia="ru-RU"/>
              </w:rPr>
              <w:t>**</w:t>
            </w:r>
          </w:p>
        </w:tc>
        <w:tc>
          <w:tcPr>
            <w:tcW w:w="948"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val="en-US" w:eastAsia="ru-RU"/>
              </w:rPr>
            </w:pPr>
            <w:r w:rsidRPr="00315D58">
              <w:rPr>
                <w:rFonts w:ascii="Times New Roman" w:eastAsia="Times New Roman" w:hAnsi="Times New Roman" w:cs="Times New Roman"/>
                <w:color w:val="000000"/>
                <w:sz w:val="20"/>
                <w:szCs w:val="20"/>
                <w:lang w:eastAsia="ru-RU"/>
              </w:rPr>
              <w:t>36 418,7</w:t>
            </w:r>
            <w:r w:rsidRPr="00315D58">
              <w:rPr>
                <w:rFonts w:ascii="Times New Roman" w:eastAsia="Times New Roman" w:hAnsi="Times New Roman" w:cs="Times New Roman"/>
                <w:color w:val="000000"/>
                <w:sz w:val="20"/>
                <w:szCs w:val="20"/>
                <w:lang w:val="en-US" w:eastAsia="ru-RU"/>
              </w:rPr>
              <w:t>**</w:t>
            </w:r>
          </w:p>
        </w:tc>
        <w:tc>
          <w:tcPr>
            <w:tcW w:w="664"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35 878</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39 273</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40 180</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40 941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41 572</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41 972</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42 117</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42 025</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41 606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40 874</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40 124</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39 328</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558 010</w:t>
            </w:r>
          </w:p>
        </w:tc>
      </w:tr>
      <w:tr w:rsidR="00315D58" w:rsidRPr="00315D58" w:rsidTr="001E5FD5">
        <w:trPr>
          <w:trHeight w:val="20"/>
        </w:trPr>
        <w:tc>
          <w:tcPr>
            <w:tcW w:w="1353" w:type="dxa"/>
            <w:vMerge/>
          </w:tcPr>
          <w:p w:rsidR="00315D58" w:rsidRPr="00315D58" w:rsidRDefault="00315D58" w:rsidP="00315D58">
            <w:pPr>
              <w:spacing w:after="0" w:line="240" w:lineRule="auto"/>
              <w:rPr>
                <w:rFonts w:ascii="Times New Roman" w:eastAsia="Times New Roman" w:hAnsi="Times New Roman" w:cs="Times New Roman"/>
                <w:sz w:val="20"/>
                <w:szCs w:val="20"/>
                <w:lang w:eastAsia="ru-RU"/>
              </w:rPr>
            </w:pPr>
          </w:p>
        </w:tc>
        <w:tc>
          <w:tcPr>
            <w:tcW w:w="3326" w:type="dxa"/>
          </w:tcPr>
          <w:p w:rsidR="00315D58" w:rsidRPr="00315D58" w:rsidRDefault="00315D58" w:rsidP="00315D58">
            <w:pPr>
              <w:autoSpaceDE w:val="0"/>
              <w:autoSpaceDN w:val="0"/>
              <w:adjustRightInd w:val="0"/>
              <w:spacing w:before="60" w:after="60" w:line="240" w:lineRule="auto"/>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Эксплуатационное бурение, тыс. метров</w:t>
            </w:r>
          </w:p>
        </w:tc>
        <w:tc>
          <w:tcPr>
            <w:tcW w:w="947"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1271</w:t>
            </w:r>
          </w:p>
        </w:tc>
        <w:tc>
          <w:tcPr>
            <w:tcW w:w="948"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911</w:t>
            </w:r>
          </w:p>
        </w:tc>
        <w:tc>
          <w:tcPr>
            <w:tcW w:w="664"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1162</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1744</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1769</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1762</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1732</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1658</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1551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1236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1106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978</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935</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864</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18 679</w:t>
            </w:r>
          </w:p>
        </w:tc>
      </w:tr>
      <w:tr w:rsidR="00315D58" w:rsidRPr="00315D58" w:rsidTr="001E5FD5">
        <w:trPr>
          <w:trHeight w:val="20"/>
        </w:trPr>
        <w:tc>
          <w:tcPr>
            <w:tcW w:w="1353" w:type="dxa"/>
            <w:vMerge/>
          </w:tcPr>
          <w:p w:rsidR="00315D58" w:rsidRPr="00315D58" w:rsidRDefault="00315D58" w:rsidP="00315D58">
            <w:pPr>
              <w:spacing w:after="0" w:line="240" w:lineRule="auto"/>
              <w:rPr>
                <w:rFonts w:ascii="Times New Roman" w:eastAsia="Times New Roman" w:hAnsi="Times New Roman" w:cs="Times New Roman"/>
                <w:sz w:val="20"/>
                <w:szCs w:val="20"/>
                <w:lang w:eastAsia="ru-RU"/>
              </w:rPr>
            </w:pPr>
          </w:p>
        </w:tc>
        <w:tc>
          <w:tcPr>
            <w:tcW w:w="3326" w:type="dxa"/>
          </w:tcPr>
          <w:p w:rsidR="00315D58" w:rsidRPr="00315D58" w:rsidRDefault="00315D58" w:rsidP="00315D58">
            <w:pPr>
              <w:autoSpaceDE w:val="0"/>
              <w:autoSpaceDN w:val="0"/>
              <w:adjustRightInd w:val="0"/>
              <w:spacing w:before="60" w:after="60" w:line="240" w:lineRule="auto"/>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Ввод новых добывающих скважин</w:t>
            </w:r>
          </w:p>
        </w:tc>
        <w:tc>
          <w:tcPr>
            <w:tcW w:w="947"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1044</w:t>
            </w:r>
          </w:p>
        </w:tc>
        <w:tc>
          <w:tcPr>
            <w:tcW w:w="948"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655</w:t>
            </w:r>
          </w:p>
        </w:tc>
        <w:tc>
          <w:tcPr>
            <w:tcW w:w="664"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1004</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1302</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1262</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1256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1291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1211</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1095</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977</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804</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706</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680</w:t>
            </w:r>
          </w:p>
        </w:tc>
        <w:tc>
          <w:tcPr>
            <w:tcW w:w="665" w:type="dxa"/>
            <w:vAlign w:val="center"/>
          </w:tcPr>
          <w:p w:rsidR="00315D58" w:rsidRPr="00315D58" w:rsidRDefault="00315D58" w:rsidP="00315D58">
            <w:pPr>
              <w:spacing w:after="0" w:line="240" w:lineRule="auto"/>
              <w:jc w:val="center"/>
              <w:rPr>
                <w:rFonts w:ascii="Times New Roman" w:eastAsia="Times New Roman" w:hAnsi="Times New Roman" w:cs="Times New Roman"/>
                <w:color w:val="000000"/>
                <w:sz w:val="20"/>
                <w:szCs w:val="20"/>
                <w:lang w:eastAsia="ru-RU"/>
              </w:rPr>
            </w:pPr>
            <w:r w:rsidRPr="00315D58">
              <w:rPr>
                <w:rFonts w:ascii="Times New Roman" w:eastAsia="Times New Roman" w:hAnsi="Times New Roman" w:cs="Times New Roman"/>
                <w:color w:val="000000"/>
                <w:sz w:val="20"/>
                <w:szCs w:val="20"/>
                <w:lang w:eastAsia="ru-RU"/>
              </w:rPr>
              <w:t>627</w:t>
            </w:r>
          </w:p>
        </w:tc>
        <w:tc>
          <w:tcPr>
            <w:tcW w:w="747" w:type="dxa"/>
            <w:vAlign w:val="center"/>
          </w:tcPr>
          <w:p w:rsidR="00315D58" w:rsidRPr="00315D58" w:rsidRDefault="00315D58" w:rsidP="00315D58">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315D58">
              <w:rPr>
                <w:rFonts w:ascii="Times New Roman" w:eastAsia="Times New Roman" w:hAnsi="Times New Roman" w:cs="Times New Roman"/>
                <w:sz w:val="20"/>
                <w:szCs w:val="20"/>
                <w:lang w:val="en-US" w:eastAsia="ru-RU"/>
              </w:rPr>
              <w:t>13 914</w:t>
            </w:r>
          </w:p>
        </w:tc>
      </w:tr>
    </w:tbl>
    <w:p w:rsidR="00315D58" w:rsidRPr="00315D58" w:rsidRDefault="00315D58" w:rsidP="00315D58">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______________</w:t>
      </w:r>
    </w:p>
    <w:p w:rsidR="00315D58" w:rsidRPr="00315D58" w:rsidRDefault="00315D58" w:rsidP="00315D58">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315D58">
        <w:rPr>
          <w:rFonts w:ascii="Times New Roman" w:eastAsia="Times New Roman" w:hAnsi="Times New Roman" w:cs="Times New Roman"/>
          <w:sz w:val="20"/>
          <w:szCs w:val="20"/>
          <w:lang w:eastAsia="ru-RU"/>
        </w:rPr>
        <w:t>* - с учетом бурения на СВН</w:t>
      </w:r>
    </w:p>
    <w:p w:rsidR="00086DE8" w:rsidRDefault="00397409" w:rsidP="0044779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 с учетом ПАО АНК «Башнефть</w:t>
      </w:r>
    </w:p>
    <w:p w:rsidR="0044779F" w:rsidRPr="0044779F" w:rsidRDefault="0044779F" w:rsidP="0044779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p>
    <w:p w:rsidR="001E5FD5" w:rsidRDefault="001E5FD5">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6E1942" w:rsidRPr="00846550" w:rsidRDefault="00397409" w:rsidP="006E1942">
      <w:pPr>
        <w:widowControl w:val="0"/>
        <w:autoSpaceDE w:val="0"/>
        <w:autoSpaceDN w:val="0"/>
        <w:spacing w:after="0" w:line="240" w:lineRule="auto"/>
        <w:jc w:val="right"/>
        <w:outlineLvl w:val="3"/>
        <w:rPr>
          <w:rFonts w:ascii="Times New Roman" w:eastAsia="Times New Roman" w:hAnsi="Times New Roman" w:cs="Times New Roman"/>
          <w:sz w:val="28"/>
          <w:szCs w:val="28"/>
          <w:lang w:eastAsia="ru-RU"/>
        </w:rPr>
      </w:pPr>
      <w:r w:rsidRPr="00846550">
        <w:rPr>
          <w:rFonts w:ascii="Times New Roman" w:eastAsia="Times New Roman" w:hAnsi="Times New Roman" w:cs="Times New Roman"/>
          <w:sz w:val="28"/>
          <w:szCs w:val="28"/>
          <w:lang w:eastAsia="ru-RU"/>
        </w:rPr>
        <w:t xml:space="preserve">Таблица </w:t>
      </w:r>
      <w:r w:rsidR="006E1942" w:rsidRPr="00846550">
        <w:rPr>
          <w:rFonts w:ascii="Times New Roman" w:eastAsia="Times New Roman" w:hAnsi="Times New Roman" w:cs="Times New Roman"/>
          <w:sz w:val="28"/>
          <w:szCs w:val="28"/>
          <w:lang w:eastAsia="ru-RU"/>
        </w:rPr>
        <w:t>9</w:t>
      </w:r>
    </w:p>
    <w:p w:rsidR="006E1942" w:rsidRPr="00846550" w:rsidRDefault="006E1942" w:rsidP="006E1942">
      <w:pPr>
        <w:widowControl w:val="0"/>
        <w:autoSpaceDE w:val="0"/>
        <w:autoSpaceDN w:val="0"/>
        <w:spacing w:after="0" w:line="240" w:lineRule="auto"/>
        <w:jc w:val="both"/>
        <w:rPr>
          <w:rFonts w:ascii="Times New Roman" w:eastAsia="Times New Roman" w:hAnsi="Times New Roman" w:cs="Times New Roman"/>
          <w:sz w:val="28"/>
          <w:szCs w:val="28"/>
          <w:lang w:eastAsia="ru-RU"/>
        </w:rPr>
      </w:pPr>
    </w:p>
    <w:p w:rsidR="006E1942" w:rsidRPr="00846550" w:rsidRDefault="006E1942" w:rsidP="006E1942">
      <w:pPr>
        <w:widowControl w:val="0"/>
        <w:autoSpaceDE w:val="0"/>
        <w:autoSpaceDN w:val="0"/>
        <w:spacing w:after="0" w:line="240" w:lineRule="auto"/>
        <w:jc w:val="center"/>
        <w:rPr>
          <w:rFonts w:ascii="Times New Roman" w:eastAsia="Times New Roman" w:hAnsi="Times New Roman" w:cs="Times New Roman"/>
          <w:sz w:val="28"/>
          <w:szCs w:val="28"/>
          <w:lang w:eastAsia="ru-RU"/>
        </w:rPr>
      </w:pPr>
      <w:bookmarkStart w:id="15" w:name="P1030"/>
      <w:bookmarkEnd w:id="15"/>
      <w:r w:rsidRPr="00846550">
        <w:rPr>
          <w:rFonts w:ascii="Times New Roman" w:eastAsia="Times New Roman" w:hAnsi="Times New Roman" w:cs="Times New Roman"/>
          <w:sz w:val="28"/>
          <w:szCs w:val="28"/>
          <w:lang w:eastAsia="ru-RU"/>
        </w:rPr>
        <w:t>Характеристика МНК Республики Татарстан в разрезе категорий</w:t>
      </w:r>
    </w:p>
    <w:p w:rsidR="006E1942" w:rsidRPr="00846550" w:rsidRDefault="006E1942" w:rsidP="006E1942">
      <w:pPr>
        <w:widowControl w:val="0"/>
        <w:autoSpaceDE w:val="0"/>
        <w:autoSpaceDN w:val="0"/>
        <w:spacing w:after="0" w:line="240" w:lineRule="auto"/>
        <w:jc w:val="center"/>
        <w:rPr>
          <w:rFonts w:ascii="Times New Roman" w:eastAsia="Times New Roman" w:hAnsi="Times New Roman" w:cs="Times New Roman"/>
          <w:i/>
          <w:sz w:val="28"/>
          <w:szCs w:val="28"/>
          <w:lang w:eastAsia="ru-RU"/>
        </w:rPr>
      </w:pPr>
      <w:r w:rsidRPr="00846550">
        <w:rPr>
          <w:rFonts w:ascii="Times New Roman" w:eastAsia="Times New Roman" w:hAnsi="Times New Roman" w:cs="Times New Roman"/>
          <w:i/>
          <w:sz w:val="28"/>
          <w:szCs w:val="28"/>
          <w:lang w:eastAsia="ru-RU"/>
        </w:rPr>
        <w:t>(в прежней редакции)</w:t>
      </w:r>
    </w:p>
    <w:p w:rsidR="00EC3F77" w:rsidRPr="00D423B2" w:rsidRDefault="00EC3F77">
      <w:pPr>
        <w:rPr>
          <w:rFonts w:ascii="Times New Roman" w:hAnsi="Times New Roman" w:cs="Times New Roman"/>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665"/>
        <w:gridCol w:w="1134"/>
        <w:gridCol w:w="1134"/>
        <w:gridCol w:w="1304"/>
        <w:gridCol w:w="1134"/>
        <w:gridCol w:w="851"/>
        <w:gridCol w:w="1276"/>
        <w:gridCol w:w="1275"/>
        <w:gridCol w:w="1276"/>
        <w:gridCol w:w="1134"/>
        <w:gridCol w:w="1701"/>
      </w:tblGrid>
      <w:tr w:rsidR="00D423B2" w:rsidRPr="00D423B2" w:rsidTr="006E1942">
        <w:tc>
          <w:tcPr>
            <w:tcW w:w="2665" w:type="dxa"/>
            <w:vMerge w:val="restart"/>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Наименование МНК</w:t>
            </w:r>
          </w:p>
        </w:tc>
        <w:tc>
          <w:tcPr>
            <w:tcW w:w="1134" w:type="dxa"/>
            <w:vMerge w:val="restart"/>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Начальные извлекаемые запасы, тыс. тонн</w:t>
            </w:r>
          </w:p>
        </w:tc>
        <w:tc>
          <w:tcPr>
            <w:tcW w:w="1134" w:type="dxa"/>
            <w:vMerge w:val="restart"/>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Накопленная добыча нефти, тыс. тонн</w:t>
            </w:r>
          </w:p>
        </w:tc>
        <w:tc>
          <w:tcPr>
            <w:tcW w:w="1304" w:type="dxa"/>
            <w:vMerge w:val="restart"/>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Текущие извлекаемые запасы, тыс. тонн</w:t>
            </w:r>
          </w:p>
        </w:tc>
        <w:tc>
          <w:tcPr>
            <w:tcW w:w="1985" w:type="dxa"/>
            <w:gridSpan w:val="2"/>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Запасы нефти, тыс. тонн</w:t>
            </w:r>
          </w:p>
        </w:tc>
        <w:tc>
          <w:tcPr>
            <w:tcW w:w="1276" w:type="dxa"/>
            <w:vMerge w:val="restart"/>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Добыча нефти в 2013 году, тыс. тонн</w:t>
            </w:r>
          </w:p>
        </w:tc>
        <w:tc>
          <w:tcPr>
            <w:tcW w:w="1275" w:type="dxa"/>
            <w:vMerge w:val="restart"/>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Обеспеченность запасами, лет</w:t>
            </w:r>
          </w:p>
        </w:tc>
        <w:tc>
          <w:tcPr>
            <w:tcW w:w="1276" w:type="dxa"/>
            <w:vMerge w:val="restart"/>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Темп от текущих извлекаемых запасов, %</w:t>
            </w:r>
          </w:p>
        </w:tc>
        <w:tc>
          <w:tcPr>
            <w:tcW w:w="1134" w:type="dxa"/>
            <w:vMerge w:val="restart"/>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Прирост запасов в 2013 году, тыс. тонн</w:t>
            </w:r>
          </w:p>
        </w:tc>
        <w:tc>
          <w:tcPr>
            <w:tcW w:w="1701" w:type="dxa"/>
            <w:vMerge w:val="restart"/>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Средний дебит по нефти, тонн/сутки</w:t>
            </w:r>
          </w:p>
        </w:tc>
      </w:tr>
      <w:tr w:rsidR="00D423B2" w:rsidRPr="00D423B2" w:rsidTr="006E1942">
        <w:tc>
          <w:tcPr>
            <w:tcW w:w="2665" w:type="dxa"/>
            <w:vMerge/>
          </w:tcPr>
          <w:p w:rsidR="006E1942" w:rsidRPr="00D423B2" w:rsidRDefault="006E1942" w:rsidP="006E1942">
            <w:pPr>
              <w:rPr>
                <w:rFonts w:ascii="Times New Roman" w:hAnsi="Times New Roman" w:cs="Times New Roman"/>
                <w:sz w:val="16"/>
                <w:szCs w:val="16"/>
              </w:rPr>
            </w:pPr>
          </w:p>
        </w:tc>
        <w:tc>
          <w:tcPr>
            <w:tcW w:w="1134" w:type="dxa"/>
            <w:vMerge/>
          </w:tcPr>
          <w:p w:rsidR="006E1942" w:rsidRPr="00D423B2" w:rsidRDefault="006E1942" w:rsidP="006E1942">
            <w:pPr>
              <w:rPr>
                <w:rFonts w:ascii="Times New Roman" w:hAnsi="Times New Roman" w:cs="Times New Roman"/>
                <w:sz w:val="16"/>
                <w:szCs w:val="16"/>
              </w:rPr>
            </w:pPr>
          </w:p>
        </w:tc>
        <w:tc>
          <w:tcPr>
            <w:tcW w:w="1134" w:type="dxa"/>
            <w:vMerge/>
          </w:tcPr>
          <w:p w:rsidR="006E1942" w:rsidRPr="00D423B2" w:rsidRDefault="006E1942" w:rsidP="006E1942">
            <w:pPr>
              <w:rPr>
                <w:rFonts w:ascii="Times New Roman" w:hAnsi="Times New Roman" w:cs="Times New Roman"/>
                <w:sz w:val="16"/>
                <w:szCs w:val="16"/>
              </w:rPr>
            </w:pPr>
          </w:p>
        </w:tc>
        <w:tc>
          <w:tcPr>
            <w:tcW w:w="1304" w:type="dxa"/>
            <w:vMerge/>
          </w:tcPr>
          <w:p w:rsidR="006E1942" w:rsidRPr="00D423B2" w:rsidRDefault="006E1942" w:rsidP="006E1942">
            <w:pPr>
              <w:rPr>
                <w:rFonts w:ascii="Times New Roman" w:hAnsi="Times New Roman" w:cs="Times New Roman"/>
                <w:sz w:val="16"/>
                <w:szCs w:val="16"/>
              </w:rPr>
            </w:pPr>
          </w:p>
        </w:tc>
        <w:tc>
          <w:tcPr>
            <w:tcW w:w="1134" w:type="dxa"/>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С2</w:t>
            </w:r>
          </w:p>
        </w:tc>
        <w:tc>
          <w:tcPr>
            <w:tcW w:w="851" w:type="dxa"/>
          </w:tcPr>
          <w:p w:rsidR="006E1942" w:rsidRPr="00D423B2" w:rsidRDefault="006E1942" w:rsidP="006E1942">
            <w:pPr>
              <w:widowControl w:val="0"/>
              <w:autoSpaceDE w:val="0"/>
              <w:autoSpaceDN w:val="0"/>
              <w:spacing w:after="0" w:line="240" w:lineRule="auto"/>
              <w:jc w:val="center"/>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С3</w:t>
            </w:r>
          </w:p>
        </w:tc>
        <w:tc>
          <w:tcPr>
            <w:tcW w:w="1276" w:type="dxa"/>
            <w:vMerge/>
          </w:tcPr>
          <w:p w:rsidR="006E1942" w:rsidRPr="00D423B2" w:rsidRDefault="006E1942" w:rsidP="006E1942">
            <w:pPr>
              <w:rPr>
                <w:rFonts w:ascii="Times New Roman" w:hAnsi="Times New Roman" w:cs="Times New Roman"/>
                <w:sz w:val="16"/>
                <w:szCs w:val="16"/>
              </w:rPr>
            </w:pPr>
          </w:p>
        </w:tc>
        <w:tc>
          <w:tcPr>
            <w:tcW w:w="1275" w:type="dxa"/>
            <w:vMerge/>
          </w:tcPr>
          <w:p w:rsidR="006E1942" w:rsidRPr="00D423B2" w:rsidRDefault="006E1942" w:rsidP="006E1942">
            <w:pPr>
              <w:rPr>
                <w:rFonts w:ascii="Times New Roman" w:hAnsi="Times New Roman" w:cs="Times New Roman"/>
                <w:sz w:val="16"/>
                <w:szCs w:val="16"/>
              </w:rPr>
            </w:pPr>
          </w:p>
        </w:tc>
        <w:tc>
          <w:tcPr>
            <w:tcW w:w="1276" w:type="dxa"/>
            <w:vMerge/>
          </w:tcPr>
          <w:p w:rsidR="006E1942" w:rsidRPr="00D423B2" w:rsidRDefault="006E1942" w:rsidP="006E1942">
            <w:pPr>
              <w:rPr>
                <w:rFonts w:ascii="Times New Roman" w:hAnsi="Times New Roman" w:cs="Times New Roman"/>
                <w:sz w:val="16"/>
                <w:szCs w:val="16"/>
              </w:rPr>
            </w:pPr>
          </w:p>
        </w:tc>
        <w:tc>
          <w:tcPr>
            <w:tcW w:w="1134" w:type="dxa"/>
            <w:vMerge/>
          </w:tcPr>
          <w:p w:rsidR="006E1942" w:rsidRPr="00D423B2" w:rsidRDefault="006E1942" w:rsidP="006E1942">
            <w:pPr>
              <w:rPr>
                <w:rFonts w:ascii="Times New Roman" w:hAnsi="Times New Roman" w:cs="Times New Roman"/>
                <w:sz w:val="16"/>
                <w:szCs w:val="16"/>
              </w:rPr>
            </w:pPr>
          </w:p>
        </w:tc>
        <w:tc>
          <w:tcPr>
            <w:tcW w:w="1701" w:type="dxa"/>
            <w:vMerge/>
          </w:tcPr>
          <w:p w:rsidR="006E1942" w:rsidRPr="00D423B2" w:rsidRDefault="006E1942" w:rsidP="006E1942">
            <w:pPr>
              <w:rPr>
                <w:rFonts w:ascii="Times New Roman" w:hAnsi="Times New Roman" w:cs="Times New Roman"/>
                <w:sz w:val="16"/>
                <w:szCs w:val="16"/>
              </w:rPr>
            </w:pPr>
          </w:p>
        </w:tc>
      </w:tr>
      <w:tr w:rsidR="00D423B2" w:rsidRPr="00D423B2" w:rsidTr="006E1942">
        <w:tc>
          <w:tcPr>
            <w:tcW w:w="14884" w:type="dxa"/>
            <w:gridSpan w:val="11"/>
          </w:tcPr>
          <w:p w:rsidR="006E1942" w:rsidRPr="00D423B2" w:rsidRDefault="006E1942" w:rsidP="006E1942">
            <w:pPr>
              <w:widowControl w:val="0"/>
              <w:autoSpaceDE w:val="0"/>
              <w:autoSpaceDN w:val="0"/>
              <w:spacing w:after="0" w:line="240" w:lineRule="auto"/>
              <w:jc w:val="center"/>
              <w:outlineLvl w:val="4"/>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МНК с низкими темпами разработки</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"Татнефтетодача"</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33 382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5 147</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28 235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3 404</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104</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529,1</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53</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1,87</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25</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5,1</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"СМП-Нефтегаз"</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11 088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5 318</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5 770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296</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670</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307,2</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19</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5,32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40</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4,7</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"ГРИЦ"</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4 276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1 386</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2 890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752</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230</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107,0</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3,70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55</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2,6</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"Меллянефть"</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3 160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1 116</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2 044</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147</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2 906</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71,0</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29</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3,47</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49</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3,8</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"Татойлгаз"</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18 323</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6 695</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11 628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1 265</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1 346</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410,5</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28</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3,53</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87</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3,2</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"ТНП-Зюзеевнефть"</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16 568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5 433</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11 135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59</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340,7</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3,06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4,4</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"Татнефтепром"</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25 622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7 342</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18 280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544</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261,7</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1,43</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6 311</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ТПП "ТатРИТЭКнефть"</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69 841</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12 323</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57 518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10 367</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7 224</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966,3</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60</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806</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6,8</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"Кара-Алтын"</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40 433</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7 531</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32 902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3 386</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510,1</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65</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1,55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2 181</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3,5</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ООО "ВУМН"</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11 936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3 212</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8 724</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1 229</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175,6</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50</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2,01</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5,4</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"Шешмаойл"</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21 539</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5 041</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16 498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3 038</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761</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410,6</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40</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2,49</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3 737</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3,0</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"Иделойл"</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11 736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1 911</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9 825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150</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161</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176,0</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56</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1,79</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2,5</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"Кондурчанефть"</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6 249</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837</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5 412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468</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66,4</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82</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1,23</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66</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"Булгарнефть"</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8 568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2 667</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5 901</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1 204</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173,2</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34</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2,94</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729</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4,7</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282 721</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65 959</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216 762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26 309</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13 402</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4 505,3</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48</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13 999</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r>
      <w:tr w:rsidR="00D423B2" w:rsidRPr="00D423B2" w:rsidTr="006E1942">
        <w:tc>
          <w:tcPr>
            <w:tcW w:w="14884" w:type="dxa"/>
            <w:gridSpan w:val="11"/>
          </w:tcPr>
          <w:p w:rsidR="006E1942" w:rsidRPr="00D423B2" w:rsidRDefault="006E1942" w:rsidP="006E1942">
            <w:pPr>
              <w:widowControl w:val="0"/>
              <w:autoSpaceDE w:val="0"/>
              <w:autoSpaceDN w:val="0"/>
              <w:spacing w:after="0" w:line="240" w:lineRule="auto"/>
              <w:jc w:val="center"/>
              <w:outlineLvl w:val="4"/>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МНК с проблемами обеспеченности запасов нефти</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"Татех"</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17 895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8 615</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9 280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3 801</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657</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461,2</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4,97</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31</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3,0</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"Алойл"</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7 170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3 175</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3 995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1 689</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277,4</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14</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6,94</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4,1</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ООО "Татнефть-Геология"</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5 409</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1 931</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3 478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364</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169,6</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4,88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1 110</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7,6</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"Геотех"</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3 998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1 631</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2 367</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1 548</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707</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116,4</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4,92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30</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4,9</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"Акмай"</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386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146</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37</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17,4</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14</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7,25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4,2</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"Геология"</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5 395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2 664</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2 731</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382</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430</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177,6</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15</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6,50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15</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ООО "ТНГК-Развитие"</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9 006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4 843</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4 163</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2 347</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233,3</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18</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5,60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5,3</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"Охтин-Ойл"</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6 448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3 573</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2 875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414</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180,0</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6,26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5,5</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"Троицкнефть"</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9 878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2 729</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7 149</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941</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239,3</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30</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128</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4,5</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"МНКТ"</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7 525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2 493</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5 032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573</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121,9</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41</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3,6</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73 110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31 800</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41 310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12 096</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1 794</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1 993,9</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4,83</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1 314</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r>
      <w:tr w:rsidR="00D423B2" w:rsidRPr="00D423B2" w:rsidTr="006E1942">
        <w:tc>
          <w:tcPr>
            <w:tcW w:w="14884" w:type="dxa"/>
            <w:gridSpan w:val="11"/>
          </w:tcPr>
          <w:p w:rsidR="006E1942" w:rsidRPr="00D423B2" w:rsidRDefault="006E1942" w:rsidP="006E1942">
            <w:pPr>
              <w:widowControl w:val="0"/>
              <w:autoSpaceDE w:val="0"/>
              <w:autoSpaceDN w:val="0"/>
              <w:spacing w:after="0" w:line="240" w:lineRule="auto"/>
              <w:jc w:val="center"/>
              <w:outlineLvl w:val="4"/>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Проблемные МНК</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ООО "Карбон-Ойл"</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5 071</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300</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4 771</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2 386</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112</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38,5</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124</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0,81</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"Елабуганефть"</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1 490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328</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1 162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15,9</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73</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1,37</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"Нократойл"</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660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113</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547</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6,3</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87</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1,15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2,2</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ООО "Трансойл"</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6 517</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1 813</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4 704</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950</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713</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144,6</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3,07</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3,6</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ООО "Нурлатская нефтяная компания"</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1 206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1 185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181</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361</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0,28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1,8</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"Макойл"</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1 269</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200</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1 069</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45</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17,2</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62</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1,61</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1,5</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"Селенгушнефть"</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1 550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107</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1 443</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570</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1 402</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9,7</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149</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0,67</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1,7</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ЗАО "ВЕЛЛойл"</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588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22</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566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548</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334</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4,1</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139</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0,72</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ОАО "Дружбанефть"</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1 116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238</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878</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30</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2 015</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21,6</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41</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2,46</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169</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2,3</w:t>
            </w:r>
          </w:p>
        </w:tc>
      </w:tr>
      <w:tr w:rsidR="00D423B2" w:rsidRPr="00D423B2" w:rsidTr="006E1942">
        <w:tc>
          <w:tcPr>
            <w:tcW w:w="2665" w:type="dxa"/>
          </w:tcPr>
          <w:p w:rsidR="006E1942" w:rsidRPr="00D423B2" w:rsidRDefault="006E1942" w:rsidP="006E1942">
            <w:pPr>
              <w:widowControl w:val="0"/>
              <w:autoSpaceDE w:val="0"/>
              <w:autoSpaceDN w:val="0"/>
              <w:spacing w:after="0" w:line="240" w:lineRule="auto"/>
              <w:rPr>
                <w:rFonts w:ascii="Times New Roman" w:eastAsia="Times New Roman" w:hAnsi="Times New Roman" w:cs="Times New Roman"/>
                <w:sz w:val="16"/>
                <w:szCs w:val="16"/>
                <w:lang w:eastAsia="ru-RU"/>
              </w:rPr>
            </w:pP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19 467</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3 142</w:t>
            </w:r>
          </w:p>
        </w:tc>
        <w:tc>
          <w:tcPr>
            <w:tcW w:w="130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16 325</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4 710</w:t>
            </w:r>
          </w:p>
        </w:tc>
        <w:tc>
          <w:tcPr>
            <w:tcW w:w="85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4 576</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261,1</w:t>
            </w:r>
          </w:p>
        </w:tc>
        <w:tc>
          <w:tcPr>
            <w:tcW w:w="1275"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63</w:t>
            </w:r>
          </w:p>
        </w:tc>
        <w:tc>
          <w:tcPr>
            <w:tcW w:w="1276"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1,60</w:t>
            </w:r>
          </w:p>
        </w:tc>
        <w:tc>
          <w:tcPr>
            <w:tcW w:w="1134"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169</w:t>
            </w:r>
          </w:p>
        </w:tc>
        <w:tc>
          <w:tcPr>
            <w:tcW w:w="1701" w:type="dxa"/>
          </w:tcPr>
          <w:p w:rsidR="006E1942" w:rsidRPr="00D423B2" w:rsidRDefault="006E1942" w:rsidP="006E1942">
            <w:pPr>
              <w:widowControl w:val="0"/>
              <w:autoSpaceDE w:val="0"/>
              <w:autoSpaceDN w:val="0"/>
              <w:spacing w:after="0" w:line="240" w:lineRule="auto"/>
              <w:jc w:val="right"/>
              <w:rPr>
                <w:rFonts w:ascii="Times New Roman" w:eastAsia="Times New Roman" w:hAnsi="Times New Roman" w:cs="Times New Roman"/>
                <w:sz w:val="16"/>
                <w:szCs w:val="16"/>
                <w:lang w:eastAsia="ru-RU"/>
              </w:rPr>
            </w:pPr>
            <w:r w:rsidRPr="00D423B2">
              <w:rPr>
                <w:rFonts w:ascii="Times New Roman" w:eastAsia="Times New Roman" w:hAnsi="Times New Roman" w:cs="Times New Roman"/>
                <w:sz w:val="16"/>
                <w:szCs w:val="16"/>
                <w:lang w:eastAsia="ru-RU"/>
              </w:rPr>
              <w:t>-</w:t>
            </w:r>
          </w:p>
        </w:tc>
      </w:tr>
    </w:tbl>
    <w:p w:rsidR="00EC3F77" w:rsidRPr="00D423B2" w:rsidRDefault="00EC3F77">
      <w:pPr>
        <w:rPr>
          <w:rFonts w:ascii="Times New Roman" w:hAnsi="Times New Roman" w:cs="Times New Roman"/>
          <w:sz w:val="16"/>
          <w:szCs w:val="16"/>
        </w:rPr>
      </w:pPr>
    </w:p>
    <w:p w:rsidR="001E5FD5" w:rsidRDefault="001E5FD5">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6E1942" w:rsidRPr="00D423B2" w:rsidRDefault="00321DD2" w:rsidP="006E1942">
      <w:pPr>
        <w:autoSpaceDE w:val="0"/>
        <w:autoSpaceDN w:val="0"/>
        <w:adjustRightInd w:val="0"/>
        <w:spacing w:after="0" w:line="240" w:lineRule="auto"/>
        <w:jc w:val="right"/>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w:t>
      </w:r>
      <w:r w:rsidR="006E1942" w:rsidRPr="00D423B2">
        <w:rPr>
          <w:rFonts w:ascii="Times New Roman" w:eastAsia="Times New Roman" w:hAnsi="Times New Roman" w:cs="Times New Roman"/>
          <w:sz w:val="28"/>
          <w:szCs w:val="28"/>
          <w:lang w:eastAsia="ru-RU"/>
        </w:rPr>
        <w:t>9</w:t>
      </w:r>
    </w:p>
    <w:p w:rsidR="006E1942" w:rsidRPr="00D423B2" w:rsidRDefault="006E1942" w:rsidP="006E1942">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D423B2">
        <w:rPr>
          <w:rFonts w:ascii="Times New Roman" w:eastAsia="Times New Roman" w:hAnsi="Times New Roman" w:cs="Times New Roman"/>
          <w:sz w:val="28"/>
          <w:szCs w:val="28"/>
          <w:lang w:eastAsia="ru-RU"/>
        </w:rPr>
        <w:t>Характеристика МНК Республики Татарстан в разрезе категорий</w:t>
      </w:r>
    </w:p>
    <w:p w:rsidR="00086DE8" w:rsidRPr="00AE2EB9" w:rsidRDefault="006E1942" w:rsidP="00AE2EB9">
      <w:pPr>
        <w:autoSpaceDE w:val="0"/>
        <w:autoSpaceDN w:val="0"/>
        <w:adjustRightInd w:val="0"/>
        <w:spacing w:after="0" w:line="240" w:lineRule="auto"/>
        <w:jc w:val="center"/>
        <w:rPr>
          <w:rFonts w:ascii="Times New Roman" w:eastAsia="Times New Roman" w:hAnsi="Times New Roman" w:cs="Times New Roman"/>
          <w:i/>
          <w:sz w:val="28"/>
          <w:szCs w:val="28"/>
          <w:lang w:eastAsia="ru-RU"/>
        </w:rPr>
      </w:pPr>
      <w:r w:rsidRPr="00D423B2">
        <w:rPr>
          <w:rFonts w:ascii="Times New Roman" w:eastAsia="Times New Roman" w:hAnsi="Times New Roman" w:cs="Times New Roman"/>
          <w:i/>
          <w:sz w:val="28"/>
          <w:szCs w:val="28"/>
          <w:lang w:eastAsia="ru-RU"/>
        </w:rPr>
        <w:t>(в новой редакции)</w:t>
      </w:r>
    </w:p>
    <w:p w:rsidR="00086DE8" w:rsidRPr="00086DE8" w:rsidRDefault="00086DE8" w:rsidP="00086DE8">
      <w:pPr>
        <w:autoSpaceDE w:val="0"/>
        <w:autoSpaceDN w:val="0"/>
        <w:adjustRightInd w:val="0"/>
        <w:spacing w:after="0" w:line="240" w:lineRule="auto"/>
        <w:jc w:val="center"/>
        <w:rPr>
          <w:rFonts w:ascii="Times New Roman" w:eastAsia="Times New Roman" w:hAnsi="Times New Roman" w:cs="Times New Roman"/>
          <w:sz w:val="28"/>
          <w:szCs w:val="28"/>
          <w:lang w:eastAsia="ru-RU"/>
        </w:rPr>
      </w:pPr>
    </w:p>
    <w:tbl>
      <w:tblPr>
        <w:tblW w:w="15735" w:type="dxa"/>
        <w:tblInd w:w="-318" w:type="dxa"/>
        <w:tblBorders>
          <w:top w:val="single" w:sz="4" w:space="0" w:color="auto"/>
          <w:left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120"/>
        <w:gridCol w:w="1134"/>
        <w:gridCol w:w="850"/>
        <w:gridCol w:w="1134"/>
        <w:gridCol w:w="851"/>
        <w:gridCol w:w="850"/>
        <w:gridCol w:w="992"/>
        <w:gridCol w:w="851"/>
        <w:gridCol w:w="1134"/>
        <w:gridCol w:w="1134"/>
        <w:gridCol w:w="992"/>
        <w:gridCol w:w="992"/>
        <w:gridCol w:w="993"/>
        <w:gridCol w:w="708"/>
      </w:tblGrid>
      <w:tr w:rsidR="00086DE8" w:rsidRPr="00086DE8" w:rsidTr="0086028E">
        <w:trPr>
          <w:trHeight w:val="300"/>
          <w:tblHeader/>
        </w:trPr>
        <w:tc>
          <w:tcPr>
            <w:tcW w:w="3120" w:type="dxa"/>
            <w:vMerge w:val="restart"/>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Недропользователь</w:t>
            </w:r>
          </w:p>
        </w:tc>
        <w:tc>
          <w:tcPr>
            <w:tcW w:w="1134" w:type="dxa"/>
            <w:vMerge w:val="restart"/>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 xml:space="preserve">Начальные извлекаемые запасы углеводород-ного сырья категории А+В1+С1 </w:t>
            </w:r>
          </w:p>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на 01.01.2019,</w:t>
            </w:r>
          </w:p>
          <w:p w:rsidR="00086DE8" w:rsidRPr="00086DE8" w:rsidRDefault="00086DE8" w:rsidP="00086DE8">
            <w:pPr>
              <w:spacing w:after="0" w:line="240" w:lineRule="auto"/>
              <w:ind w:left="-108" w:right="-108"/>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тыс. тонн</w:t>
            </w:r>
          </w:p>
        </w:tc>
        <w:tc>
          <w:tcPr>
            <w:tcW w:w="850" w:type="dxa"/>
            <w:vMerge w:val="restart"/>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Накоп-ленная добыча нефти,</w:t>
            </w:r>
          </w:p>
          <w:p w:rsidR="00086DE8" w:rsidRPr="00086DE8" w:rsidRDefault="00086DE8" w:rsidP="00086DE8">
            <w:pPr>
              <w:spacing w:after="0" w:line="240" w:lineRule="auto"/>
              <w:ind w:left="-108" w:right="-108"/>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тыс. тонн</w:t>
            </w:r>
          </w:p>
        </w:tc>
        <w:tc>
          <w:tcPr>
            <w:tcW w:w="1134" w:type="dxa"/>
            <w:vMerge w:val="restart"/>
            <w:tcBorders>
              <w:top w:val="single" w:sz="4" w:space="0" w:color="auto"/>
              <w:left w:val="single" w:sz="8" w:space="0" w:color="auto"/>
              <w:bottom w:val="nil"/>
              <w:right w:val="single" w:sz="8" w:space="0" w:color="auto"/>
            </w:tcBorders>
            <w:vAlign w:val="center"/>
          </w:tcPr>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 xml:space="preserve">Текущие извлекаемые запасы углеводород-ного сырья категории </w:t>
            </w:r>
          </w:p>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A+B1+C1</w:t>
            </w:r>
          </w:p>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на 01.01.2019,</w:t>
            </w:r>
          </w:p>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тыс. тонн</w:t>
            </w:r>
          </w:p>
          <w:p w:rsidR="00086DE8" w:rsidRPr="00086DE8" w:rsidRDefault="00086DE8" w:rsidP="00086DE8">
            <w:pPr>
              <w:spacing w:after="0" w:line="240" w:lineRule="auto"/>
              <w:ind w:left="-108" w:right="-108"/>
              <w:jc w:val="center"/>
              <w:rPr>
                <w:rFonts w:ascii="Times New Roman" w:eastAsia="Times New Roman" w:hAnsi="Times New Roman" w:cs="Times New Roman"/>
                <w:bCs/>
                <w:color w:val="000000"/>
                <w:sz w:val="20"/>
                <w:szCs w:val="20"/>
                <w:lang w:eastAsia="ru-RU"/>
              </w:rPr>
            </w:pPr>
          </w:p>
        </w:tc>
        <w:tc>
          <w:tcPr>
            <w:tcW w:w="1701" w:type="dxa"/>
            <w:gridSpan w:val="2"/>
            <w:tcBorders>
              <w:top w:val="single" w:sz="4" w:space="0" w:color="auto"/>
              <w:left w:val="single" w:sz="8" w:space="0" w:color="auto"/>
              <w:bottom w:val="single" w:sz="8" w:space="0" w:color="auto"/>
              <w:right w:val="single" w:sz="8" w:space="0" w:color="auto"/>
            </w:tcBorders>
            <w:vAlign w:val="center"/>
            <w:hideMark/>
          </w:tcPr>
          <w:p w:rsidR="00086DE8" w:rsidRPr="00086DE8" w:rsidRDefault="00086DE8" w:rsidP="00086DE8">
            <w:pPr>
              <w:spacing w:after="0" w:line="240" w:lineRule="auto"/>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Запасы и ресурсы углеводородного сырья по категориям,</w:t>
            </w:r>
          </w:p>
          <w:p w:rsidR="00086DE8" w:rsidRPr="00086DE8" w:rsidRDefault="00086DE8" w:rsidP="00086DE8">
            <w:pPr>
              <w:spacing w:after="0" w:line="240" w:lineRule="auto"/>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тыс. тонн</w:t>
            </w:r>
          </w:p>
        </w:tc>
        <w:tc>
          <w:tcPr>
            <w:tcW w:w="992" w:type="dxa"/>
            <w:vMerge w:val="restart"/>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Годовая</w:t>
            </w:r>
          </w:p>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добыча</w:t>
            </w:r>
          </w:p>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нефти</w:t>
            </w:r>
          </w:p>
          <w:p w:rsidR="00086DE8" w:rsidRPr="00086DE8" w:rsidRDefault="00086DE8" w:rsidP="00086DE8">
            <w:pPr>
              <w:spacing w:after="0" w:line="240" w:lineRule="auto"/>
              <w:ind w:left="-108" w:right="-108"/>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 xml:space="preserve">за 2018 год, </w:t>
            </w:r>
            <w:r w:rsidRPr="00086DE8">
              <w:rPr>
                <w:rFonts w:ascii="Times New Roman" w:eastAsia="Times New Roman" w:hAnsi="Times New Roman" w:cs="Times New Roman"/>
                <w:b/>
                <w:bCs/>
                <w:color w:val="000000"/>
                <w:sz w:val="18"/>
                <w:szCs w:val="18"/>
                <w:lang w:eastAsia="ru-RU"/>
              </w:rPr>
              <w:br/>
              <w:t>тыс. тонн</w:t>
            </w:r>
          </w:p>
        </w:tc>
        <w:tc>
          <w:tcPr>
            <w:tcW w:w="851" w:type="dxa"/>
            <w:vMerge w:val="restart"/>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Обеспе-</w:t>
            </w:r>
          </w:p>
          <w:p w:rsidR="00086DE8" w:rsidRPr="00086DE8" w:rsidRDefault="00086DE8" w:rsidP="00086DE8">
            <w:pPr>
              <w:spacing w:after="0" w:line="240" w:lineRule="auto"/>
              <w:ind w:left="-108" w:right="-108"/>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ченность запасами углеводо-родного сырья, лет</w:t>
            </w:r>
          </w:p>
        </w:tc>
        <w:tc>
          <w:tcPr>
            <w:tcW w:w="1134" w:type="dxa"/>
            <w:vMerge w:val="restart"/>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ind w:left="-108" w:right="-108"/>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 xml:space="preserve">Темп отбора от текущих извлекаемых запасов углеводород-ного сырья, </w:t>
            </w:r>
            <w:r w:rsidRPr="00086DE8">
              <w:rPr>
                <w:rFonts w:ascii="Times New Roman" w:eastAsia="Times New Roman" w:hAnsi="Times New Roman" w:cs="Times New Roman"/>
                <w:b/>
                <w:bCs/>
                <w:color w:val="000000"/>
                <w:sz w:val="18"/>
                <w:szCs w:val="18"/>
                <w:lang w:eastAsia="ru-RU"/>
              </w:rPr>
              <w:br/>
              <w:t>%</w:t>
            </w:r>
          </w:p>
        </w:tc>
        <w:tc>
          <w:tcPr>
            <w:tcW w:w="1134" w:type="dxa"/>
            <w:vMerge w:val="restart"/>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 xml:space="preserve">Прирост извлекаемых запасов углеводород-ного сырья </w:t>
            </w:r>
            <w:r w:rsidRPr="00086DE8">
              <w:rPr>
                <w:rFonts w:ascii="Times New Roman" w:eastAsia="Times New Roman" w:hAnsi="Times New Roman" w:cs="Times New Roman"/>
                <w:b/>
                <w:bCs/>
                <w:color w:val="000000"/>
                <w:sz w:val="18"/>
                <w:szCs w:val="18"/>
                <w:lang w:eastAsia="ru-RU"/>
              </w:rPr>
              <w:br/>
              <w:t>за 2018 год,</w:t>
            </w:r>
          </w:p>
          <w:p w:rsidR="00086DE8" w:rsidRPr="00086DE8" w:rsidRDefault="00086DE8" w:rsidP="00086DE8">
            <w:pPr>
              <w:spacing w:after="0" w:line="240" w:lineRule="auto"/>
              <w:ind w:left="-108" w:right="-108"/>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тыс. тонн</w:t>
            </w:r>
          </w:p>
        </w:tc>
        <w:tc>
          <w:tcPr>
            <w:tcW w:w="1984" w:type="dxa"/>
            <w:gridSpan w:val="2"/>
            <w:tcBorders>
              <w:top w:val="single" w:sz="4" w:space="0" w:color="auto"/>
              <w:left w:val="single" w:sz="8" w:space="0" w:color="auto"/>
              <w:bottom w:val="single" w:sz="8" w:space="0" w:color="auto"/>
              <w:right w:val="single" w:sz="8" w:space="0" w:color="auto"/>
            </w:tcBorders>
            <w:vAlign w:val="center"/>
            <w:hideMark/>
          </w:tcPr>
          <w:p w:rsidR="00086DE8" w:rsidRPr="00086DE8" w:rsidRDefault="00086DE8" w:rsidP="00086DE8">
            <w:pPr>
              <w:spacing w:after="0" w:line="240" w:lineRule="auto"/>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Начальные</w:t>
            </w:r>
          </w:p>
          <w:p w:rsidR="00086DE8" w:rsidRPr="00086DE8" w:rsidRDefault="00086DE8" w:rsidP="00086DE8">
            <w:pPr>
              <w:spacing w:after="0" w:line="240" w:lineRule="auto"/>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запасы углеводородного сырья</w:t>
            </w:r>
          </w:p>
          <w:p w:rsidR="00086DE8" w:rsidRPr="00086DE8" w:rsidRDefault="00086DE8" w:rsidP="00086DE8">
            <w:pPr>
              <w:spacing w:after="0" w:line="240" w:lineRule="auto"/>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по категориям</w:t>
            </w:r>
          </w:p>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 xml:space="preserve">на 01.01.2019, </w:t>
            </w:r>
            <w:r w:rsidRPr="00086DE8">
              <w:rPr>
                <w:rFonts w:ascii="Times New Roman" w:eastAsia="Times New Roman" w:hAnsi="Times New Roman" w:cs="Times New Roman"/>
                <w:b/>
                <w:bCs/>
                <w:color w:val="000000"/>
                <w:sz w:val="18"/>
                <w:szCs w:val="18"/>
                <w:lang w:eastAsia="ru-RU"/>
              </w:rPr>
              <w:br/>
              <w:t>тыс. тонн</w:t>
            </w:r>
          </w:p>
        </w:tc>
        <w:tc>
          <w:tcPr>
            <w:tcW w:w="993" w:type="dxa"/>
            <w:vMerge w:val="restart"/>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Проектный</w:t>
            </w:r>
          </w:p>
          <w:p w:rsidR="00086DE8" w:rsidRPr="00086DE8" w:rsidRDefault="00086DE8" w:rsidP="00086DE8">
            <w:pPr>
              <w:spacing w:after="0" w:line="240" w:lineRule="auto"/>
              <w:ind w:left="-108" w:right="-108"/>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КИН</w:t>
            </w:r>
          </w:p>
          <w:p w:rsidR="00086DE8" w:rsidRPr="00086DE8" w:rsidRDefault="00086DE8" w:rsidP="00086DE8">
            <w:pPr>
              <w:spacing w:after="0" w:line="240" w:lineRule="auto"/>
              <w:ind w:left="-108" w:right="-108"/>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доли.ед.</w:t>
            </w:r>
          </w:p>
        </w:tc>
        <w:tc>
          <w:tcPr>
            <w:tcW w:w="708" w:type="dxa"/>
            <w:vMerge w:val="restart"/>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ind w:left="-108" w:right="-26"/>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Теку-щий</w:t>
            </w:r>
          </w:p>
          <w:p w:rsidR="00086DE8" w:rsidRPr="00086DE8" w:rsidRDefault="00086DE8" w:rsidP="00086DE8">
            <w:pPr>
              <w:spacing w:after="0" w:line="240" w:lineRule="auto"/>
              <w:ind w:left="-108" w:right="-26"/>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КИН</w:t>
            </w:r>
          </w:p>
          <w:p w:rsidR="00086DE8" w:rsidRPr="00086DE8" w:rsidRDefault="00086DE8" w:rsidP="00086DE8">
            <w:pPr>
              <w:spacing w:after="0" w:line="240" w:lineRule="auto"/>
              <w:ind w:left="-108" w:right="-108"/>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доли.ед.</w:t>
            </w:r>
          </w:p>
        </w:tc>
      </w:tr>
      <w:tr w:rsidR="00086DE8" w:rsidRPr="00086DE8" w:rsidTr="0086028E">
        <w:trPr>
          <w:trHeight w:val="300"/>
          <w:tblHeader/>
        </w:trPr>
        <w:tc>
          <w:tcPr>
            <w:tcW w:w="3120" w:type="dxa"/>
            <w:vMerge/>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rPr>
                <w:rFonts w:ascii="Times New Roman" w:eastAsia="Times New Roman" w:hAnsi="Times New Roman" w:cs="Times New Roman"/>
                <w:bCs/>
                <w:color w:val="000000"/>
                <w:sz w:val="20"/>
                <w:szCs w:val="20"/>
                <w:highlight w:val="green"/>
                <w:lang w:eastAsia="ru-RU"/>
              </w:rPr>
            </w:pPr>
          </w:p>
        </w:tc>
        <w:tc>
          <w:tcPr>
            <w:tcW w:w="1134" w:type="dxa"/>
            <w:vMerge/>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rPr>
                <w:rFonts w:ascii="Times New Roman" w:eastAsia="Times New Roman" w:hAnsi="Times New Roman" w:cs="Times New Roman"/>
                <w:bCs/>
                <w:color w:val="000000"/>
                <w:sz w:val="20"/>
                <w:szCs w:val="20"/>
                <w:highlight w:val="green"/>
                <w:lang w:eastAsia="ru-RU"/>
              </w:rPr>
            </w:pPr>
          </w:p>
        </w:tc>
        <w:tc>
          <w:tcPr>
            <w:tcW w:w="850" w:type="dxa"/>
            <w:vMerge/>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rPr>
                <w:rFonts w:ascii="Times New Roman" w:eastAsia="Times New Roman" w:hAnsi="Times New Roman" w:cs="Times New Roman"/>
                <w:bCs/>
                <w:color w:val="000000"/>
                <w:sz w:val="20"/>
                <w:szCs w:val="20"/>
                <w:highlight w:val="green"/>
                <w:lang w:eastAsia="ru-RU"/>
              </w:rPr>
            </w:pPr>
          </w:p>
        </w:tc>
        <w:tc>
          <w:tcPr>
            <w:tcW w:w="1134" w:type="dxa"/>
            <w:vMerge/>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rPr>
                <w:rFonts w:ascii="Times New Roman" w:eastAsia="Times New Roman" w:hAnsi="Times New Roman" w:cs="Times New Roman"/>
                <w:bCs/>
                <w:color w:val="000000"/>
                <w:sz w:val="20"/>
                <w:szCs w:val="20"/>
                <w:highlight w:val="green"/>
                <w:lang w:eastAsia="ru-RU"/>
              </w:rPr>
            </w:pPr>
          </w:p>
        </w:tc>
        <w:tc>
          <w:tcPr>
            <w:tcW w:w="851" w:type="dxa"/>
            <w:tcBorders>
              <w:top w:val="single" w:sz="8"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B2+C2</w:t>
            </w:r>
          </w:p>
        </w:tc>
        <w:tc>
          <w:tcPr>
            <w:tcW w:w="850" w:type="dxa"/>
            <w:tcBorders>
              <w:top w:val="single" w:sz="8"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Д0</w:t>
            </w:r>
          </w:p>
        </w:tc>
        <w:tc>
          <w:tcPr>
            <w:tcW w:w="992" w:type="dxa"/>
            <w:vMerge/>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rPr>
                <w:rFonts w:ascii="Times New Roman" w:eastAsia="Times New Roman" w:hAnsi="Times New Roman" w:cs="Times New Roman"/>
                <w:bCs/>
                <w:color w:val="000000"/>
                <w:sz w:val="20"/>
                <w:szCs w:val="20"/>
                <w:lang w:eastAsia="ru-RU"/>
              </w:rPr>
            </w:pPr>
          </w:p>
        </w:tc>
        <w:tc>
          <w:tcPr>
            <w:tcW w:w="851" w:type="dxa"/>
            <w:vMerge/>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rPr>
                <w:rFonts w:ascii="Times New Roman" w:eastAsia="Times New Roman" w:hAnsi="Times New Roman" w:cs="Times New Roman"/>
                <w:bCs/>
                <w:color w:val="000000"/>
                <w:sz w:val="20"/>
                <w:szCs w:val="20"/>
                <w:lang w:eastAsia="ru-RU"/>
              </w:rPr>
            </w:pPr>
          </w:p>
        </w:tc>
        <w:tc>
          <w:tcPr>
            <w:tcW w:w="1134" w:type="dxa"/>
            <w:vMerge/>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rPr>
                <w:rFonts w:ascii="Times New Roman" w:eastAsia="Times New Roman" w:hAnsi="Times New Roman" w:cs="Times New Roman"/>
                <w:bCs/>
                <w:color w:val="000000"/>
                <w:sz w:val="20"/>
                <w:szCs w:val="20"/>
                <w:lang w:eastAsia="ru-RU"/>
              </w:rPr>
            </w:pPr>
          </w:p>
        </w:tc>
        <w:tc>
          <w:tcPr>
            <w:tcW w:w="1134" w:type="dxa"/>
            <w:vMerge/>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rPr>
                <w:rFonts w:ascii="Times New Roman" w:eastAsia="Times New Roman" w:hAnsi="Times New Roman" w:cs="Times New Roman"/>
                <w:bCs/>
                <w:color w:val="000000"/>
                <w:sz w:val="20"/>
                <w:szCs w:val="20"/>
                <w:lang w:eastAsia="ru-RU"/>
              </w:rPr>
            </w:pPr>
          </w:p>
        </w:tc>
        <w:tc>
          <w:tcPr>
            <w:tcW w:w="992" w:type="dxa"/>
            <w:tcBorders>
              <w:top w:val="single" w:sz="8"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баланс.</w:t>
            </w:r>
          </w:p>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А+В1+С1</w:t>
            </w:r>
          </w:p>
        </w:tc>
        <w:tc>
          <w:tcPr>
            <w:tcW w:w="992" w:type="dxa"/>
            <w:tcBorders>
              <w:top w:val="single" w:sz="8"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jc w:val="center"/>
              <w:rPr>
                <w:rFonts w:ascii="Times New Roman" w:eastAsia="Times New Roman" w:hAnsi="Times New Roman" w:cs="Times New Roman"/>
                <w:b/>
                <w:bCs/>
                <w:color w:val="000000"/>
                <w:sz w:val="18"/>
                <w:szCs w:val="18"/>
                <w:lang w:eastAsia="ru-RU"/>
              </w:rPr>
            </w:pPr>
            <w:r w:rsidRPr="00086DE8">
              <w:rPr>
                <w:rFonts w:ascii="Times New Roman" w:eastAsia="Times New Roman" w:hAnsi="Times New Roman" w:cs="Times New Roman"/>
                <w:b/>
                <w:bCs/>
                <w:color w:val="000000"/>
                <w:sz w:val="18"/>
                <w:szCs w:val="18"/>
                <w:lang w:eastAsia="ru-RU"/>
              </w:rPr>
              <w:t>извл.</w:t>
            </w:r>
          </w:p>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
                <w:bCs/>
                <w:color w:val="000000"/>
                <w:sz w:val="18"/>
                <w:szCs w:val="18"/>
                <w:lang w:eastAsia="ru-RU"/>
              </w:rPr>
              <w:t>А+В1+С1</w:t>
            </w:r>
          </w:p>
        </w:tc>
        <w:tc>
          <w:tcPr>
            <w:tcW w:w="993" w:type="dxa"/>
            <w:vMerge/>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rPr>
                <w:rFonts w:ascii="Times New Roman" w:eastAsia="Times New Roman" w:hAnsi="Times New Roman" w:cs="Times New Roman"/>
                <w:bCs/>
                <w:color w:val="000000"/>
                <w:sz w:val="20"/>
                <w:szCs w:val="20"/>
                <w:highlight w:val="green"/>
                <w:lang w:eastAsia="ru-RU"/>
              </w:rPr>
            </w:pPr>
          </w:p>
        </w:tc>
        <w:tc>
          <w:tcPr>
            <w:tcW w:w="708" w:type="dxa"/>
            <w:vMerge/>
            <w:tcBorders>
              <w:top w:val="single" w:sz="4" w:space="0" w:color="auto"/>
              <w:left w:val="single" w:sz="8" w:space="0" w:color="auto"/>
              <w:bottom w:val="nil"/>
              <w:right w:val="single" w:sz="8" w:space="0" w:color="auto"/>
            </w:tcBorders>
            <w:vAlign w:val="center"/>
            <w:hideMark/>
          </w:tcPr>
          <w:p w:rsidR="00086DE8" w:rsidRPr="00086DE8" w:rsidRDefault="00086DE8" w:rsidP="00086DE8">
            <w:pPr>
              <w:spacing w:after="0" w:line="240" w:lineRule="auto"/>
              <w:rPr>
                <w:rFonts w:ascii="Times New Roman" w:eastAsia="Times New Roman" w:hAnsi="Times New Roman" w:cs="Times New Roman"/>
                <w:bCs/>
                <w:color w:val="000000"/>
                <w:sz w:val="20"/>
                <w:szCs w:val="20"/>
                <w:lang w:eastAsia="ru-RU"/>
              </w:rPr>
            </w:pPr>
          </w:p>
        </w:tc>
      </w:tr>
    </w:tbl>
    <w:p w:rsidR="00086DE8" w:rsidRPr="00086DE8" w:rsidRDefault="00086DE8" w:rsidP="00086DE8">
      <w:pPr>
        <w:autoSpaceDE w:val="0"/>
        <w:autoSpaceDN w:val="0"/>
        <w:adjustRightInd w:val="0"/>
        <w:spacing w:after="0" w:line="240" w:lineRule="auto"/>
        <w:jc w:val="right"/>
        <w:outlineLvl w:val="3"/>
        <w:rPr>
          <w:rFonts w:ascii="Times New Roman" w:eastAsia="Times New Roman" w:hAnsi="Times New Roman" w:cs="Times New Roman"/>
          <w:sz w:val="2"/>
          <w:szCs w:val="2"/>
          <w:lang w:eastAsia="ru-RU"/>
        </w:rPr>
      </w:pPr>
    </w:p>
    <w:tbl>
      <w:tblPr>
        <w:tblW w:w="15735" w:type="dxa"/>
        <w:tblInd w:w="-318" w:type="dxa"/>
        <w:tblLayout w:type="fixed"/>
        <w:tblLook w:val="04A0" w:firstRow="1" w:lastRow="0" w:firstColumn="1" w:lastColumn="0" w:noHBand="0" w:noVBand="1"/>
      </w:tblPr>
      <w:tblGrid>
        <w:gridCol w:w="3120"/>
        <w:gridCol w:w="1134"/>
        <w:gridCol w:w="850"/>
        <w:gridCol w:w="1134"/>
        <w:gridCol w:w="851"/>
        <w:gridCol w:w="850"/>
        <w:gridCol w:w="992"/>
        <w:gridCol w:w="851"/>
        <w:gridCol w:w="1134"/>
        <w:gridCol w:w="1134"/>
        <w:gridCol w:w="992"/>
        <w:gridCol w:w="992"/>
        <w:gridCol w:w="993"/>
        <w:gridCol w:w="708"/>
      </w:tblGrid>
      <w:tr w:rsidR="00086DE8" w:rsidRPr="00086DE8" w:rsidTr="001E5FD5">
        <w:trPr>
          <w:trHeight w:val="20"/>
          <w:tblHeader/>
        </w:trPr>
        <w:tc>
          <w:tcPr>
            <w:tcW w:w="3120" w:type="dxa"/>
            <w:tcBorders>
              <w:top w:val="single" w:sz="4" w:space="0" w:color="auto"/>
              <w:left w:val="single" w:sz="8" w:space="0" w:color="auto"/>
              <w:bottom w:val="single" w:sz="8" w:space="0" w:color="auto"/>
              <w:right w:val="single" w:sz="8" w:space="0" w:color="auto"/>
            </w:tcBorders>
            <w:vAlign w:val="bottom"/>
            <w:hideMark/>
          </w:tcPr>
          <w:p w:rsidR="00086DE8" w:rsidRPr="00086DE8" w:rsidRDefault="00086DE8" w:rsidP="00086DE8">
            <w:pPr>
              <w:spacing w:after="0" w:line="240" w:lineRule="auto"/>
              <w:ind w:right="-108"/>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1</w:t>
            </w:r>
          </w:p>
        </w:tc>
        <w:tc>
          <w:tcPr>
            <w:tcW w:w="1134"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2</w:t>
            </w:r>
          </w:p>
        </w:tc>
        <w:tc>
          <w:tcPr>
            <w:tcW w:w="850"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3</w:t>
            </w:r>
          </w:p>
        </w:tc>
        <w:tc>
          <w:tcPr>
            <w:tcW w:w="1134"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4</w:t>
            </w:r>
          </w:p>
        </w:tc>
        <w:tc>
          <w:tcPr>
            <w:tcW w:w="851"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5</w:t>
            </w:r>
          </w:p>
        </w:tc>
        <w:tc>
          <w:tcPr>
            <w:tcW w:w="850"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6</w:t>
            </w:r>
          </w:p>
        </w:tc>
        <w:tc>
          <w:tcPr>
            <w:tcW w:w="992"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7</w:t>
            </w:r>
          </w:p>
        </w:tc>
        <w:tc>
          <w:tcPr>
            <w:tcW w:w="851"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8</w:t>
            </w:r>
          </w:p>
        </w:tc>
        <w:tc>
          <w:tcPr>
            <w:tcW w:w="1134"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9</w:t>
            </w:r>
          </w:p>
        </w:tc>
        <w:tc>
          <w:tcPr>
            <w:tcW w:w="1134"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10</w:t>
            </w:r>
          </w:p>
        </w:tc>
        <w:tc>
          <w:tcPr>
            <w:tcW w:w="992"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11</w:t>
            </w:r>
          </w:p>
        </w:tc>
        <w:tc>
          <w:tcPr>
            <w:tcW w:w="992"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12</w:t>
            </w:r>
          </w:p>
        </w:tc>
        <w:tc>
          <w:tcPr>
            <w:tcW w:w="993"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13</w:t>
            </w:r>
          </w:p>
        </w:tc>
        <w:tc>
          <w:tcPr>
            <w:tcW w:w="708" w:type="dxa"/>
            <w:tcBorders>
              <w:top w:val="single" w:sz="4" w:space="0" w:color="auto"/>
              <w:left w:val="nil"/>
              <w:bottom w:val="single" w:sz="8" w:space="0" w:color="auto"/>
              <w:right w:val="single" w:sz="8" w:space="0" w:color="auto"/>
            </w:tcBorders>
            <w:vAlign w:val="bottom"/>
            <w:hideMark/>
          </w:tcPr>
          <w:p w:rsidR="00086DE8" w:rsidRPr="00086DE8" w:rsidRDefault="00086DE8" w:rsidP="00086DE8">
            <w:pPr>
              <w:spacing w:after="0" w:line="240" w:lineRule="auto"/>
              <w:jc w:val="center"/>
              <w:rPr>
                <w:rFonts w:ascii="Times New Roman" w:eastAsia="Times New Roman" w:hAnsi="Times New Roman" w:cs="Times New Roman"/>
                <w:bCs/>
                <w:color w:val="000000"/>
                <w:sz w:val="20"/>
                <w:szCs w:val="20"/>
                <w:lang w:eastAsia="ru-RU"/>
              </w:rPr>
            </w:pPr>
            <w:r w:rsidRPr="00086DE8">
              <w:rPr>
                <w:rFonts w:ascii="Times New Roman" w:eastAsia="Times New Roman" w:hAnsi="Times New Roman" w:cs="Times New Roman"/>
                <w:bCs/>
                <w:color w:val="000000"/>
                <w:sz w:val="20"/>
                <w:szCs w:val="20"/>
                <w:lang w:eastAsia="ru-RU"/>
              </w:rPr>
              <w:t>14</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5735" w:type="dxa"/>
            <w:gridSpan w:val="14"/>
            <w:shd w:val="clear" w:color="auto" w:fill="auto"/>
            <w:vAlign w:val="bottom"/>
            <w:hideMark/>
          </w:tcPr>
          <w:p w:rsidR="00086DE8" w:rsidRPr="001E5FD5" w:rsidRDefault="00086DE8" w:rsidP="00086DE8">
            <w:pPr>
              <w:spacing w:after="0" w:line="240" w:lineRule="auto"/>
              <w:jc w:val="center"/>
              <w:rPr>
                <w:rFonts w:ascii="Times New Roman" w:eastAsia="Times New Roman" w:hAnsi="Times New Roman" w:cs="Times New Roman"/>
                <w:b/>
                <w:bCs/>
                <w:color w:val="000000"/>
                <w:sz w:val="20"/>
                <w:szCs w:val="20"/>
                <w:lang w:eastAsia="ru-RU"/>
              </w:rPr>
            </w:pPr>
          </w:p>
          <w:p w:rsidR="00086DE8" w:rsidRPr="00086DE8" w:rsidRDefault="00086DE8" w:rsidP="00086DE8">
            <w:pPr>
              <w:spacing w:after="0" w:line="240" w:lineRule="auto"/>
              <w:jc w:val="center"/>
              <w:rPr>
                <w:rFonts w:ascii="Times New Roman" w:eastAsia="Times New Roman" w:hAnsi="Times New Roman" w:cs="Times New Roman"/>
                <w:b/>
                <w:bCs/>
                <w:color w:val="000000"/>
                <w:sz w:val="24"/>
                <w:szCs w:val="24"/>
                <w:lang w:eastAsia="ru-RU"/>
              </w:rPr>
            </w:pPr>
            <w:r w:rsidRPr="00086DE8">
              <w:rPr>
                <w:rFonts w:ascii="Times New Roman" w:eastAsia="Times New Roman" w:hAnsi="Times New Roman" w:cs="Times New Roman"/>
                <w:b/>
                <w:bCs/>
                <w:color w:val="000000"/>
                <w:sz w:val="24"/>
                <w:szCs w:val="24"/>
                <w:lang w:eastAsia="ru-RU"/>
              </w:rPr>
              <w:t>МНК с низкими темпами разработки</w:t>
            </w:r>
          </w:p>
          <w:p w:rsidR="00086DE8" w:rsidRPr="001E5FD5" w:rsidRDefault="00086DE8" w:rsidP="00086DE8">
            <w:pPr>
              <w:spacing w:after="0" w:line="240" w:lineRule="auto"/>
              <w:jc w:val="center"/>
              <w:rPr>
                <w:rFonts w:ascii="Times New Roman" w:eastAsia="Times New Roman" w:hAnsi="Times New Roman" w:cs="Times New Roman"/>
                <w:b/>
                <w:bCs/>
                <w:color w:val="000000"/>
                <w:sz w:val="20"/>
                <w:szCs w:val="20"/>
                <w:lang w:eastAsia="ru-RU"/>
              </w:rPr>
            </w:pP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«БУЛГАРНЕФТЬ»</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8568</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3510</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5058</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1204</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159</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32</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3,0</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22095</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8568</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0,388</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0,159</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«ИДЕЛОЙЛ»</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14146</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2976</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11170</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148</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161</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223</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50</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2,0</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446</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46417</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14146</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0,305</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0,064</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«КОНДУРЧАНЕФТЬ»</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6608</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1159</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5449</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299</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73</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20513</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6608</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0,322</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0,057</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«МЕЛЛЯНЕФТЬ»</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3244</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1465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1779</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487</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70</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3,8</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84</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7519</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3244</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0,431</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0,195</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«ТАТЕХ»</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25474</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10958</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14516</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2337</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476</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30</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3,2</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93748</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25474</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0,272</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0,117</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«ТАТНЕФТЕОТДАЧА»</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35392</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8633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26759</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2445</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2216</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744</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36</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2,7</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108630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35392</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0,326</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0,079</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«ТАТНЕФТЕПРОМ»</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21556</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8274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13282</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532</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248</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1,8</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68793</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21556</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0,313</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0,120</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«РИТЭК»</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81065</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17460</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63617</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6262</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24587</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1013</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550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303289</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81065</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0,267</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0,058</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«ТАТНЕФТЕПРОМ-Зюзеевнефть»</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19593</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7379</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12214</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1020</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847</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365</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2,9</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55607</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19593</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0,352</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0,133</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«ШЕШМАОЙЛ»</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30293</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7096</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23197</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1716</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154</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418</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1,8</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5177</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103083</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30293</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0,294</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0,069</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ЗАО «Предприятие Кара Алтын»</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40433</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10099</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30334</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3386</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516</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59</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1,7</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145862</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40433</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0,277</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0,069</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ЗАО «ТРОИЦКНЕФТЬ»</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13247</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3926</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9321</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623</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239</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39</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3431</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40636</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13247</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0,326</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0,097</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ООО «КАМСКОЙЛ»</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4194</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367</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3827</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103</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383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13054</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4194</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0,321</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0,028</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ООО «МНКТ»</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27304</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9738</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17566</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2165</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1929</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465</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38</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2,6</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1519</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76420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27304</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0,357</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0,127</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5735" w:type="dxa"/>
            <w:gridSpan w:val="14"/>
            <w:shd w:val="clear" w:color="auto" w:fill="auto"/>
            <w:vAlign w:val="bottom"/>
            <w:hideMark/>
          </w:tcPr>
          <w:p w:rsidR="00086DE8" w:rsidRPr="001E5FD5" w:rsidRDefault="00086DE8" w:rsidP="00086DE8">
            <w:pPr>
              <w:spacing w:after="0" w:line="240" w:lineRule="auto"/>
              <w:jc w:val="center"/>
              <w:rPr>
                <w:rFonts w:ascii="Times New Roman" w:eastAsia="Times New Roman" w:hAnsi="Times New Roman" w:cs="Times New Roman"/>
                <w:b/>
                <w:bCs/>
                <w:color w:val="000000"/>
                <w:sz w:val="20"/>
                <w:szCs w:val="20"/>
                <w:lang w:eastAsia="ru-RU"/>
              </w:rPr>
            </w:pPr>
          </w:p>
          <w:p w:rsidR="00086DE8" w:rsidRPr="00086DE8" w:rsidRDefault="00086DE8" w:rsidP="00086DE8">
            <w:pPr>
              <w:spacing w:after="0" w:line="240" w:lineRule="auto"/>
              <w:jc w:val="center"/>
              <w:rPr>
                <w:rFonts w:ascii="Times New Roman" w:eastAsia="Times New Roman" w:hAnsi="Times New Roman" w:cs="Times New Roman"/>
                <w:b/>
                <w:bCs/>
                <w:color w:val="000000"/>
                <w:sz w:val="24"/>
                <w:szCs w:val="24"/>
                <w:lang w:eastAsia="ru-RU"/>
              </w:rPr>
            </w:pPr>
            <w:r w:rsidRPr="00086DE8">
              <w:rPr>
                <w:rFonts w:ascii="Times New Roman" w:eastAsia="Times New Roman" w:hAnsi="Times New Roman" w:cs="Times New Roman"/>
                <w:b/>
                <w:bCs/>
                <w:color w:val="000000"/>
                <w:sz w:val="24"/>
                <w:szCs w:val="24"/>
                <w:lang w:eastAsia="ru-RU"/>
              </w:rPr>
              <w:t>МНК с проблемами обеспечения запасами</w:t>
            </w:r>
          </w:p>
          <w:p w:rsidR="00086DE8" w:rsidRPr="001E5FD5" w:rsidRDefault="00086DE8" w:rsidP="00086DE8">
            <w:pPr>
              <w:spacing w:after="0" w:line="240" w:lineRule="auto"/>
              <w:jc w:val="center"/>
              <w:rPr>
                <w:rFonts w:ascii="Times New Roman" w:eastAsia="Times New Roman" w:hAnsi="Times New Roman" w:cs="Times New Roman"/>
                <w:b/>
                <w:bCs/>
                <w:color w:val="000000"/>
                <w:sz w:val="20"/>
                <w:szCs w:val="20"/>
                <w:lang w:eastAsia="ru-RU"/>
              </w:rPr>
            </w:pP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«ГЕОЛОГИЯ»</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5919</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3482</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2437</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403</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430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156</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16</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6,0</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14863</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5919</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0,398</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0,234</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«ГЕОТЕХ»</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4376</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2167</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2209</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1573</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408</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102</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22</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9867</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4376</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0,443</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0,220</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«ГРИЦ»</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5472</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2005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3467</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788</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231</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140</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3,9</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18162</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5472</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0,301</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0,110</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«СМП-нефтегаз»</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11611</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6773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4838</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280</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808</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283</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17</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36455</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11611</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0,319</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0,186</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«ТАТОЙЛГАЗ»</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18837</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8841</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9996</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1293</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93</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437</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4,2</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56293</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18837</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0,335</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0,157</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ЗАО «АЛОЙЛ»</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7893</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4449</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3444</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886</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240</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29537</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7893</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0,267</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0,151</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ЗАО «ОХТИН-ОЙЛ»</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8549</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4842</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3707</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375</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267</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6,7</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21882</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8549</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0,391</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0,221</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ОАО «АКМАЙ»</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500</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257</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243</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174</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20</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12</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7,6</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1313</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500</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0,381</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0,196</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ООО «НК-ГЕОЛОГИЯ»</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6980</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2868</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4112</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239</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195</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21</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13973</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6980</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0,500</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0,205</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ООО «ТРАНСОЙЛ»</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7043</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2580</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4463</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962</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518</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155</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29</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526</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24076</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7043</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0,293</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0,107</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5735" w:type="dxa"/>
            <w:gridSpan w:val="14"/>
            <w:shd w:val="clear" w:color="auto" w:fill="auto"/>
            <w:vAlign w:val="bottom"/>
            <w:hideMark/>
          </w:tcPr>
          <w:p w:rsidR="00086DE8" w:rsidRPr="001E5FD5" w:rsidRDefault="00086DE8" w:rsidP="00086DE8">
            <w:pPr>
              <w:spacing w:after="0" w:line="240" w:lineRule="auto"/>
              <w:jc w:val="center"/>
              <w:rPr>
                <w:rFonts w:ascii="Times New Roman" w:eastAsia="Times New Roman" w:hAnsi="Times New Roman" w:cs="Times New Roman"/>
                <w:b/>
                <w:bCs/>
                <w:color w:val="000000"/>
                <w:sz w:val="20"/>
                <w:szCs w:val="24"/>
                <w:lang w:eastAsia="ru-RU"/>
              </w:rPr>
            </w:pPr>
          </w:p>
          <w:p w:rsidR="00086DE8" w:rsidRPr="00086DE8" w:rsidRDefault="00086DE8" w:rsidP="00086DE8">
            <w:pPr>
              <w:spacing w:after="0" w:line="240" w:lineRule="auto"/>
              <w:jc w:val="center"/>
              <w:rPr>
                <w:rFonts w:ascii="Times New Roman" w:eastAsia="Times New Roman" w:hAnsi="Times New Roman" w:cs="Times New Roman"/>
                <w:b/>
                <w:bCs/>
                <w:color w:val="000000"/>
                <w:sz w:val="24"/>
                <w:szCs w:val="24"/>
                <w:lang w:eastAsia="ru-RU"/>
              </w:rPr>
            </w:pPr>
            <w:r w:rsidRPr="00086DE8">
              <w:rPr>
                <w:rFonts w:ascii="Times New Roman" w:eastAsia="Times New Roman" w:hAnsi="Times New Roman" w:cs="Times New Roman"/>
                <w:b/>
                <w:bCs/>
                <w:color w:val="000000"/>
                <w:sz w:val="24"/>
                <w:szCs w:val="24"/>
                <w:lang w:eastAsia="ru-RU"/>
              </w:rPr>
              <w:t>Проблемные МНК</w:t>
            </w:r>
          </w:p>
          <w:p w:rsidR="00086DE8" w:rsidRPr="001E5FD5" w:rsidRDefault="00086DE8" w:rsidP="00086DE8">
            <w:pPr>
              <w:spacing w:after="0" w:line="240" w:lineRule="auto"/>
              <w:jc w:val="center"/>
              <w:rPr>
                <w:rFonts w:ascii="Times New Roman" w:eastAsia="Times New Roman" w:hAnsi="Times New Roman" w:cs="Times New Roman"/>
                <w:b/>
                <w:bCs/>
                <w:color w:val="000000"/>
                <w:sz w:val="20"/>
                <w:szCs w:val="20"/>
                <w:lang w:eastAsia="ru-RU"/>
              </w:rPr>
            </w:pP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«ЕЛАБУГАНЕФТЬ»</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1642</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429</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1213</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19</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1,5</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152</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5243</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1642</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0,313</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0,082</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АО «ННК»</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967</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41</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926</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154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0,6</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2587</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967</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0,374</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0,016</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ОАО «НОКРАТОЙЛ»</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660</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141</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519</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1,0</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2468</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660</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0,267</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0,057</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ООО «КАРБОН-ОЙЛ»</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5144</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554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4590</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2119</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112</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59</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78</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117</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31873</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5144</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0,161</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0,017</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ПАО «МАКОЙЛ»</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1269</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277</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992</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45</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76</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4928</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1269</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0,258</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0,056</w:t>
            </w:r>
          </w:p>
        </w:tc>
      </w:tr>
      <w:tr w:rsidR="00086DE8" w:rsidRPr="00086DE8" w:rsidTr="001E5F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120" w:type="dxa"/>
            <w:shd w:val="clear" w:color="auto" w:fill="auto"/>
            <w:vAlign w:val="bottom"/>
            <w:hideMark/>
          </w:tcPr>
          <w:p w:rsidR="00086DE8" w:rsidRPr="00086DE8" w:rsidRDefault="00086DE8" w:rsidP="00086DE8">
            <w:pPr>
              <w:spacing w:before="60" w:after="60" w:line="240" w:lineRule="auto"/>
              <w:rPr>
                <w:rFonts w:ascii="Times New Roman" w:eastAsia="Times New Roman" w:hAnsi="Times New Roman" w:cs="Times New Roman"/>
                <w:color w:val="000000"/>
                <w:sz w:val="24"/>
                <w:szCs w:val="24"/>
                <w:lang w:eastAsia="ru-RU"/>
              </w:rPr>
            </w:pPr>
            <w:r w:rsidRPr="00086DE8">
              <w:rPr>
                <w:rFonts w:ascii="Times New Roman" w:eastAsia="Times New Roman" w:hAnsi="Times New Roman" w:cs="Times New Roman"/>
                <w:color w:val="000000"/>
                <w:sz w:val="24"/>
                <w:szCs w:val="24"/>
                <w:lang w:eastAsia="ru-RU"/>
              </w:rPr>
              <w:t>Итого:</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417979</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132746</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285245</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31205</w:t>
            </w:r>
          </w:p>
        </w:tc>
        <w:tc>
          <w:tcPr>
            <w:tcW w:w="850"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33155</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7116</w:t>
            </w:r>
          </w:p>
        </w:tc>
        <w:tc>
          <w:tcPr>
            <w:tcW w:w="851"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40</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2,4</w:t>
            </w:r>
          </w:p>
        </w:tc>
        <w:tc>
          <w:tcPr>
            <w:tcW w:w="1134"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12002</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1379186</w:t>
            </w:r>
          </w:p>
        </w:tc>
        <w:tc>
          <w:tcPr>
            <w:tcW w:w="992"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417979</w:t>
            </w:r>
          </w:p>
        </w:tc>
        <w:tc>
          <w:tcPr>
            <w:tcW w:w="993"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0,303</w:t>
            </w:r>
          </w:p>
        </w:tc>
        <w:tc>
          <w:tcPr>
            <w:tcW w:w="708" w:type="dxa"/>
            <w:shd w:val="clear" w:color="auto" w:fill="auto"/>
            <w:vAlign w:val="center"/>
            <w:hideMark/>
          </w:tcPr>
          <w:p w:rsidR="00086DE8" w:rsidRPr="00086DE8" w:rsidRDefault="00086DE8" w:rsidP="00086DE8">
            <w:pPr>
              <w:spacing w:before="60" w:after="60" w:line="240" w:lineRule="auto"/>
              <w:jc w:val="center"/>
              <w:rPr>
                <w:rFonts w:ascii="Times New Roman" w:eastAsia="Times New Roman" w:hAnsi="Times New Roman" w:cs="Times New Roman"/>
                <w:color w:val="000000"/>
                <w:sz w:val="20"/>
                <w:szCs w:val="20"/>
                <w:lang w:eastAsia="ru-RU"/>
              </w:rPr>
            </w:pPr>
            <w:r w:rsidRPr="00086DE8">
              <w:rPr>
                <w:rFonts w:ascii="Times New Roman" w:eastAsia="Times New Roman" w:hAnsi="Times New Roman" w:cs="Times New Roman"/>
                <w:color w:val="000000"/>
                <w:sz w:val="20"/>
                <w:szCs w:val="20"/>
                <w:lang w:eastAsia="ru-RU"/>
              </w:rPr>
              <w:t>0,096</w:t>
            </w:r>
          </w:p>
        </w:tc>
      </w:tr>
    </w:tbl>
    <w:p w:rsidR="00086DE8" w:rsidRPr="001E5FD5" w:rsidRDefault="00086DE8" w:rsidP="00846550">
      <w:pPr>
        <w:autoSpaceDE w:val="0"/>
        <w:autoSpaceDN w:val="0"/>
        <w:adjustRightInd w:val="0"/>
        <w:spacing w:after="0" w:line="240" w:lineRule="auto"/>
        <w:rPr>
          <w:rFonts w:ascii="Times New Roman" w:eastAsia="Times New Roman" w:hAnsi="Times New Roman" w:cs="Times New Roman"/>
          <w:sz w:val="4"/>
          <w:szCs w:val="4"/>
          <w:lang w:eastAsia="ru-RU"/>
        </w:rPr>
      </w:pPr>
    </w:p>
    <w:sectPr w:rsidR="00086DE8" w:rsidRPr="001E5FD5" w:rsidSect="00073ED4">
      <w:footerReference w:type="default" r:id="rId116"/>
      <w:pgSz w:w="16838" w:h="11906" w:orient="landscape"/>
      <w:pgMar w:top="851"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791D" w:rsidRDefault="00A8791D" w:rsidP="00EF0B43">
      <w:pPr>
        <w:spacing w:after="0" w:line="240" w:lineRule="auto"/>
      </w:pPr>
      <w:r>
        <w:separator/>
      </w:r>
    </w:p>
  </w:endnote>
  <w:endnote w:type="continuationSeparator" w:id="0">
    <w:p w:rsidR="00A8791D" w:rsidRDefault="00A8791D" w:rsidP="00EF0B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TimesNewRomanPSMT">
    <w:altName w:val="Times New Roman"/>
    <w:panose1 w:val="00000000000000000000"/>
    <w:charset w:val="CC"/>
    <w:family w:val="auto"/>
    <w:notTrueType/>
    <w:pitch w:val="default"/>
    <w:sig w:usb0="00000001" w:usb1="00000000" w:usb2="00000000" w:usb3="00000000" w:csb0="00000005"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3769884"/>
      <w:docPartObj>
        <w:docPartGallery w:val="Page Numbers (Bottom of Page)"/>
        <w:docPartUnique/>
      </w:docPartObj>
    </w:sdtPr>
    <w:sdtEndPr/>
    <w:sdtContent>
      <w:p w:rsidR="00364A79" w:rsidRDefault="00364A79">
        <w:pPr>
          <w:pStyle w:val="a7"/>
          <w:jc w:val="center"/>
        </w:pPr>
        <w:r>
          <w:fldChar w:fldCharType="begin"/>
        </w:r>
        <w:r>
          <w:instrText>PAGE   \* MERGEFORMAT</w:instrText>
        </w:r>
        <w:r>
          <w:fldChar w:fldCharType="separate"/>
        </w:r>
        <w:r w:rsidR="007C609C">
          <w:rPr>
            <w:noProof/>
          </w:rPr>
          <w:t>3</w:t>
        </w:r>
        <w:r>
          <w:fldChar w:fldCharType="end"/>
        </w:r>
      </w:p>
    </w:sdtContent>
  </w:sdt>
  <w:p w:rsidR="00364A79" w:rsidRDefault="00364A7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791D" w:rsidRDefault="00A8791D" w:rsidP="00EF0B43">
      <w:pPr>
        <w:spacing w:after="0" w:line="240" w:lineRule="auto"/>
      </w:pPr>
      <w:r>
        <w:separator/>
      </w:r>
    </w:p>
  </w:footnote>
  <w:footnote w:type="continuationSeparator" w:id="0">
    <w:p w:rsidR="00A8791D" w:rsidRDefault="00A8791D" w:rsidP="00EF0B4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92C712C"/>
    <w:multiLevelType w:val="multilevel"/>
    <w:tmpl w:val="E002509C"/>
    <w:lvl w:ilvl="0">
      <w:start w:val="3"/>
      <w:numFmt w:val="upperRoman"/>
      <w:lvlText w:val="%1."/>
      <w:lvlJc w:val="left"/>
      <w:pPr>
        <w:ind w:left="1800" w:hanging="720"/>
      </w:pPr>
      <w:rPr>
        <w:rFonts w:hint="default"/>
      </w:rPr>
    </w:lvl>
    <w:lvl w:ilvl="1">
      <w:start w:val="4"/>
      <w:numFmt w:val="decimal"/>
      <w:isLgl/>
      <w:lvlText w:val="%1.%2."/>
      <w:lvlJc w:val="left"/>
      <w:pPr>
        <w:ind w:left="1800" w:hanging="720"/>
      </w:pPr>
      <w:rPr>
        <w:rFonts w:hint="default"/>
      </w:rPr>
    </w:lvl>
    <w:lvl w:ilvl="2">
      <w:start w:val="1"/>
      <w:numFmt w:val="decimalZero"/>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3ED4"/>
    <w:rsid w:val="000032CF"/>
    <w:rsid w:val="00003E96"/>
    <w:rsid w:val="000042D9"/>
    <w:rsid w:val="00004B3B"/>
    <w:rsid w:val="00013805"/>
    <w:rsid w:val="000154D2"/>
    <w:rsid w:val="00015DBE"/>
    <w:rsid w:val="000215E2"/>
    <w:rsid w:val="00023E40"/>
    <w:rsid w:val="00024CDF"/>
    <w:rsid w:val="00027ADF"/>
    <w:rsid w:val="00031DEC"/>
    <w:rsid w:val="0003453B"/>
    <w:rsid w:val="00036314"/>
    <w:rsid w:val="00042D38"/>
    <w:rsid w:val="00047326"/>
    <w:rsid w:val="00051293"/>
    <w:rsid w:val="000577DF"/>
    <w:rsid w:val="00060C8E"/>
    <w:rsid w:val="00062936"/>
    <w:rsid w:val="000717E6"/>
    <w:rsid w:val="00073ED4"/>
    <w:rsid w:val="000801C9"/>
    <w:rsid w:val="000806AC"/>
    <w:rsid w:val="000826BF"/>
    <w:rsid w:val="00085877"/>
    <w:rsid w:val="00086872"/>
    <w:rsid w:val="00086DE8"/>
    <w:rsid w:val="00087C76"/>
    <w:rsid w:val="000907DD"/>
    <w:rsid w:val="000A2CB2"/>
    <w:rsid w:val="000B0D69"/>
    <w:rsid w:val="000C2E60"/>
    <w:rsid w:val="000C451D"/>
    <w:rsid w:val="000C700F"/>
    <w:rsid w:val="000D3B27"/>
    <w:rsid w:val="000D60F4"/>
    <w:rsid w:val="000D6F07"/>
    <w:rsid w:val="000D75E5"/>
    <w:rsid w:val="000E080B"/>
    <w:rsid w:val="000F0179"/>
    <w:rsid w:val="000F16E8"/>
    <w:rsid w:val="000F372A"/>
    <w:rsid w:val="000F37AA"/>
    <w:rsid w:val="000F40E3"/>
    <w:rsid w:val="000F7FB4"/>
    <w:rsid w:val="001100F1"/>
    <w:rsid w:val="00110308"/>
    <w:rsid w:val="001112C7"/>
    <w:rsid w:val="00116113"/>
    <w:rsid w:val="0011784A"/>
    <w:rsid w:val="0013258A"/>
    <w:rsid w:val="00137E5C"/>
    <w:rsid w:val="001428C4"/>
    <w:rsid w:val="00144D6E"/>
    <w:rsid w:val="00145F03"/>
    <w:rsid w:val="00162824"/>
    <w:rsid w:val="001666FB"/>
    <w:rsid w:val="00173DE8"/>
    <w:rsid w:val="00177636"/>
    <w:rsid w:val="00180277"/>
    <w:rsid w:val="001809CB"/>
    <w:rsid w:val="001825A9"/>
    <w:rsid w:val="00185995"/>
    <w:rsid w:val="00191D8C"/>
    <w:rsid w:val="001935E0"/>
    <w:rsid w:val="001A0044"/>
    <w:rsid w:val="001A5BEB"/>
    <w:rsid w:val="001A5DFD"/>
    <w:rsid w:val="001A7F23"/>
    <w:rsid w:val="001B0262"/>
    <w:rsid w:val="001B0BDE"/>
    <w:rsid w:val="001C0818"/>
    <w:rsid w:val="001C3F51"/>
    <w:rsid w:val="001C664B"/>
    <w:rsid w:val="001C74E7"/>
    <w:rsid w:val="001C7993"/>
    <w:rsid w:val="001D490F"/>
    <w:rsid w:val="001D5B7D"/>
    <w:rsid w:val="001D6CAD"/>
    <w:rsid w:val="001D7D2C"/>
    <w:rsid w:val="001E0C46"/>
    <w:rsid w:val="001E5FD5"/>
    <w:rsid w:val="001E6810"/>
    <w:rsid w:val="001E6F3F"/>
    <w:rsid w:val="001F0D96"/>
    <w:rsid w:val="001F15DA"/>
    <w:rsid w:val="001F508B"/>
    <w:rsid w:val="002006B7"/>
    <w:rsid w:val="002023B3"/>
    <w:rsid w:val="002052DB"/>
    <w:rsid w:val="00210939"/>
    <w:rsid w:val="00216092"/>
    <w:rsid w:val="00222654"/>
    <w:rsid w:val="002254D6"/>
    <w:rsid w:val="00225A31"/>
    <w:rsid w:val="00230DED"/>
    <w:rsid w:val="00235235"/>
    <w:rsid w:val="00236854"/>
    <w:rsid w:val="002408F5"/>
    <w:rsid w:val="00241E5E"/>
    <w:rsid w:val="00246D2A"/>
    <w:rsid w:val="00250968"/>
    <w:rsid w:val="00251654"/>
    <w:rsid w:val="00253B3A"/>
    <w:rsid w:val="002634AA"/>
    <w:rsid w:val="00265ED6"/>
    <w:rsid w:val="00266BD5"/>
    <w:rsid w:val="00266F2D"/>
    <w:rsid w:val="00267B23"/>
    <w:rsid w:val="002726BA"/>
    <w:rsid w:val="00272F1F"/>
    <w:rsid w:val="00276C64"/>
    <w:rsid w:val="00277137"/>
    <w:rsid w:val="00281396"/>
    <w:rsid w:val="002846D4"/>
    <w:rsid w:val="00284F33"/>
    <w:rsid w:val="0028505F"/>
    <w:rsid w:val="00294332"/>
    <w:rsid w:val="00294BD3"/>
    <w:rsid w:val="002A0C6A"/>
    <w:rsid w:val="002A49D5"/>
    <w:rsid w:val="002B034C"/>
    <w:rsid w:val="002B3931"/>
    <w:rsid w:val="002B72CA"/>
    <w:rsid w:val="002B76C2"/>
    <w:rsid w:val="002C6650"/>
    <w:rsid w:val="002D3082"/>
    <w:rsid w:val="002E38F7"/>
    <w:rsid w:val="002E452E"/>
    <w:rsid w:val="002E4F12"/>
    <w:rsid w:val="002E529E"/>
    <w:rsid w:val="002E5ADD"/>
    <w:rsid w:val="002E6E65"/>
    <w:rsid w:val="002F1362"/>
    <w:rsid w:val="002F451D"/>
    <w:rsid w:val="00300214"/>
    <w:rsid w:val="00301B88"/>
    <w:rsid w:val="00303C32"/>
    <w:rsid w:val="00304996"/>
    <w:rsid w:val="0031312F"/>
    <w:rsid w:val="00313284"/>
    <w:rsid w:val="00315D58"/>
    <w:rsid w:val="00315F0D"/>
    <w:rsid w:val="00321329"/>
    <w:rsid w:val="00321DD2"/>
    <w:rsid w:val="00322E79"/>
    <w:rsid w:val="003270CA"/>
    <w:rsid w:val="00327D51"/>
    <w:rsid w:val="00331A8F"/>
    <w:rsid w:val="00335D42"/>
    <w:rsid w:val="0033609B"/>
    <w:rsid w:val="003362E9"/>
    <w:rsid w:val="00337FDC"/>
    <w:rsid w:val="00340A9A"/>
    <w:rsid w:val="003430C7"/>
    <w:rsid w:val="00343C30"/>
    <w:rsid w:val="00344A80"/>
    <w:rsid w:val="00344AF9"/>
    <w:rsid w:val="00347764"/>
    <w:rsid w:val="00351105"/>
    <w:rsid w:val="003520A1"/>
    <w:rsid w:val="003643AE"/>
    <w:rsid w:val="00364A79"/>
    <w:rsid w:val="003653A3"/>
    <w:rsid w:val="00371673"/>
    <w:rsid w:val="00371B91"/>
    <w:rsid w:val="00373451"/>
    <w:rsid w:val="00377734"/>
    <w:rsid w:val="00377CAD"/>
    <w:rsid w:val="003807F0"/>
    <w:rsid w:val="003854DF"/>
    <w:rsid w:val="003857EE"/>
    <w:rsid w:val="00393C20"/>
    <w:rsid w:val="00396782"/>
    <w:rsid w:val="0039699D"/>
    <w:rsid w:val="00397409"/>
    <w:rsid w:val="003A226B"/>
    <w:rsid w:val="003A2879"/>
    <w:rsid w:val="003A5248"/>
    <w:rsid w:val="003A7B18"/>
    <w:rsid w:val="003A7F1D"/>
    <w:rsid w:val="003B17D7"/>
    <w:rsid w:val="003C0162"/>
    <w:rsid w:val="003C0EC9"/>
    <w:rsid w:val="003C3395"/>
    <w:rsid w:val="003C482D"/>
    <w:rsid w:val="003C6F1A"/>
    <w:rsid w:val="003D1100"/>
    <w:rsid w:val="003D43E3"/>
    <w:rsid w:val="003D5EDD"/>
    <w:rsid w:val="003D6F11"/>
    <w:rsid w:val="003E7C81"/>
    <w:rsid w:val="003F1C12"/>
    <w:rsid w:val="003F255B"/>
    <w:rsid w:val="003F55FC"/>
    <w:rsid w:val="003F6E4D"/>
    <w:rsid w:val="00403C6D"/>
    <w:rsid w:val="00406618"/>
    <w:rsid w:val="00420E70"/>
    <w:rsid w:val="00427CEE"/>
    <w:rsid w:val="00434C08"/>
    <w:rsid w:val="004441E8"/>
    <w:rsid w:val="0044779F"/>
    <w:rsid w:val="0045032F"/>
    <w:rsid w:val="00452886"/>
    <w:rsid w:val="00453D32"/>
    <w:rsid w:val="00454D32"/>
    <w:rsid w:val="0045577E"/>
    <w:rsid w:val="004557C9"/>
    <w:rsid w:val="0045693F"/>
    <w:rsid w:val="00460A97"/>
    <w:rsid w:val="00466C34"/>
    <w:rsid w:val="00467CE6"/>
    <w:rsid w:val="00482494"/>
    <w:rsid w:val="004833CF"/>
    <w:rsid w:val="00484FDB"/>
    <w:rsid w:val="0048569D"/>
    <w:rsid w:val="004866D6"/>
    <w:rsid w:val="004929C8"/>
    <w:rsid w:val="0049729B"/>
    <w:rsid w:val="00497706"/>
    <w:rsid w:val="004A49C3"/>
    <w:rsid w:val="004A4EFC"/>
    <w:rsid w:val="004B10B0"/>
    <w:rsid w:val="004B191F"/>
    <w:rsid w:val="004B2554"/>
    <w:rsid w:val="004B338D"/>
    <w:rsid w:val="004B6047"/>
    <w:rsid w:val="004C0975"/>
    <w:rsid w:val="004C13E6"/>
    <w:rsid w:val="004C41CB"/>
    <w:rsid w:val="004C6AAC"/>
    <w:rsid w:val="004C6CDD"/>
    <w:rsid w:val="004C7A98"/>
    <w:rsid w:val="004D1BAD"/>
    <w:rsid w:val="004D1C01"/>
    <w:rsid w:val="004D2513"/>
    <w:rsid w:val="004D4426"/>
    <w:rsid w:val="004D6FB3"/>
    <w:rsid w:val="004E4B46"/>
    <w:rsid w:val="004E4C62"/>
    <w:rsid w:val="004E7365"/>
    <w:rsid w:val="004F38C4"/>
    <w:rsid w:val="00501CCA"/>
    <w:rsid w:val="00516E56"/>
    <w:rsid w:val="0052299C"/>
    <w:rsid w:val="00535A82"/>
    <w:rsid w:val="00540320"/>
    <w:rsid w:val="00541004"/>
    <w:rsid w:val="005428E9"/>
    <w:rsid w:val="00542DA3"/>
    <w:rsid w:val="00544215"/>
    <w:rsid w:val="005506EA"/>
    <w:rsid w:val="005555E0"/>
    <w:rsid w:val="00564A8F"/>
    <w:rsid w:val="00570578"/>
    <w:rsid w:val="00572E0F"/>
    <w:rsid w:val="005A3DC8"/>
    <w:rsid w:val="005A48BC"/>
    <w:rsid w:val="005A704B"/>
    <w:rsid w:val="005B4B85"/>
    <w:rsid w:val="005B6025"/>
    <w:rsid w:val="005B7EFC"/>
    <w:rsid w:val="005C30CB"/>
    <w:rsid w:val="005C36DD"/>
    <w:rsid w:val="005D0647"/>
    <w:rsid w:val="005D2451"/>
    <w:rsid w:val="005D42B9"/>
    <w:rsid w:val="005D4786"/>
    <w:rsid w:val="005E0AD0"/>
    <w:rsid w:val="005E1848"/>
    <w:rsid w:val="005E3A28"/>
    <w:rsid w:val="005E6853"/>
    <w:rsid w:val="005E6D25"/>
    <w:rsid w:val="005E7001"/>
    <w:rsid w:val="005F2BBE"/>
    <w:rsid w:val="005F3D96"/>
    <w:rsid w:val="005F6029"/>
    <w:rsid w:val="00603A5E"/>
    <w:rsid w:val="006051D0"/>
    <w:rsid w:val="00606269"/>
    <w:rsid w:val="00610F55"/>
    <w:rsid w:val="00613C4D"/>
    <w:rsid w:val="0062080B"/>
    <w:rsid w:val="0062268B"/>
    <w:rsid w:val="0062387A"/>
    <w:rsid w:val="006243A7"/>
    <w:rsid w:val="0063099B"/>
    <w:rsid w:val="006312BA"/>
    <w:rsid w:val="00631AA6"/>
    <w:rsid w:val="00633133"/>
    <w:rsid w:val="00636430"/>
    <w:rsid w:val="00640DC4"/>
    <w:rsid w:val="00640FC3"/>
    <w:rsid w:val="00641803"/>
    <w:rsid w:val="00641F0C"/>
    <w:rsid w:val="00653DA7"/>
    <w:rsid w:val="00655E6C"/>
    <w:rsid w:val="00655F4E"/>
    <w:rsid w:val="006623AF"/>
    <w:rsid w:val="00662C0F"/>
    <w:rsid w:val="006748F0"/>
    <w:rsid w:val="00681559"/>
    <w:rsid w:val="00683BE7"/>
    <w:rsid w:val="00686F48"/>
    <w:rsid w:val="00694359"/>
    <w:rsid w:val="00695B5C"/>
    <w:rsid w:val="00696E02"/>
    <w:rsid w:val="00697DE6"/>
    <w:rsid w:val="006A4859"/>
    <w:rsid w:val="006A645C"/>
    <w:rsid w:val="006A6AFB"/>
    <w:rsid w:val="006B124A"/>
    <w:rsid w:val="006B39B0"/>
    <w:rsid w:val="006B6E46"/>
    <w:rsid w:val="006C1081"/>
    <w:rsid w:val="006C2B43"/>
    <w:rsid w:val="006C3B72"/>
    <w:rsid w:val="006D11A5"/>
    <w:rsid w:val="006D5286"/>
    <w:rsid w:val="006D5A11"/>
    <w:rsid w:val="006E025E"/>
    <w:rsid w:val="006E1942"/>
    <w:rsid w:val="006E310A"/>
    <w:rsid w:val="006F0B89"/>
    <w:rsid w:val="006F350A"/>
    <w:rsid w:val="006F3B33"/>
    <w:rsid w:val="006F57A3"/>
    <w:rsid w:val="00703104"/>
    <w:rsid w:val="00704646"/>
    <w:rsid w:val="00716A28"/>
    <w:rsid w:val="0072039C"/>
    <w:rsid w:val="007241B8"/>
    <w:rsid w:val="0073088D"/>
    <w:rsid w:val="00731FE7"/>
    <w:rsid w:val="00733633"/>
    <w:rsid w:val="00733B46"/>
    <w:rsid w:val="0074438C"/>
    <w:rsid w:val="00745984"/>
    <w:rsid w:val="007465CF"/>
    <w:rsid w:val="00746802"/>
    <w:rsid w:val="00750BDC"/>
    <w:rsid w:val="007515F2"/>
    <w:rsid w:val="0075317C"/>
    <w:rsid w:val="00754E71"/>
    <w:rsid w:val="007574D8"/>
    <w:rsid w:val="00767C0D"/>
    <w:rsid w:val="00771027"/>
    <w:rsid w:val="007748EB"/>
    <w:rsid w:val="00775C96"/>
    <w:rsid w:val="00776852"/>
    <w:rsid w:val="00777568"/>
    <w:rsid w:val="00784718"/>
    <w:rsid w:val="007872CC"/>
    <w:rsid w:val="007915C3"/>
    <w:rsid w:val="0079429D"/>
    <w:rsid w:val="00795644"/>
    <w:rsid w:val="007A7277"/>
    <w:rsid w:val="007A7BB1"/>
    <w:rsid w:val="007B191B"/>
    <w:rsid w:val="007B5226"/>
    <w:rsid w:val="007B69D9"/>
    <w:rsid w:val="007C3CE7"/>
    <w:rsid w:val="007C4D8D"/>
    <w:rsid w:val="007C58E9"/>
    <w:rsid w:val="007C609C"/>
    <w:rsid w:val="007D5786"/>
    <w:rsid w:val="007E4072"/>
    <w:rsid w:val="007E4930"/>
    <w:rsid w:val="007E7F86"/>
    <w:rsid w:val="007F312D"/>
    <w:rsid w:val="007F62EF"/>
    <w:rsid w:val="007F69EA"/>
    <w:rsid w:val="007F712D"/>
    <w:rsid w:val="00800AB5"/>
    <w:rsid w:val="00807145"/>
    <w:rsid w:val="00807C40"/>
    <w:rsid w:val="0081475E"/>
    <w:rsid w:val="00815D64"/>
    <w:rsid w:val="008166C6"/>
    <w:rsid w:val="00816DFA"/>
    <w:rsid w:val="008210EF"/>
    <w:rsid w:val="00821D6E"/>
    <w:rsid w:val="0082398D"/>
    <w:rsid w:val="00824444"/>
    <w:rsid w:val="00830975"/>
    <w:rsid w:val="00830CE2"/>
    <w:rsid w:val="00831BBB"/>
    <w:rsid w:val="00832EDF"/>
    <w:rsid w:val="00833F34"/>
    <w:rsid w:val="00840369"/>
    <w:rsid w:val="00841C90"/>
    <w:rsid w:val="008425B3"/>
    <w:rsid w:val="00846550"/>
    <w:rsid w:val="008475FD"/>
    <w:rsid w:val="0085539A"/>
    <w:rsid w:val="00857463"/>
    <w:rsid w:val="00863058"/>
    <w:rsid w:val="008646FD"/>
    <w:rsid w:val="008664A7"/>
    <w:rsid w:val="0087667B"/>
    <w:rsid w:val="00880D2C"/>
    <w:rsid w:val="00884AF9"/>
    <w:rsid w:val="008869B5"/>
    <w:rsid w:val="00893C28"/>
    <w:rsid w:val="008977B6"/>
    <w:rsid w:val="00897DE2"/>
    <w:rsid w:val="008B2405"/>
    <w:rsid w:val="008B5B45"/>
    <w:rsid w:val="008C5C95"/>
    <w:rsid w:val="008C68A5"/>
    <w:rsid w:val="008C6C2E"/>
    <w:rsid w:val="008D094B"/>
    <w:rsid w:val="008D09A1"/>
    <w:rsid w:val="008D36D2"/>
    <w:rsid w:val="008D63B9"/>
    <w:rsid w:val="008E0DB7"/>
    <w:rsid w:val="008E1A22"/>
    <w:rsid w:val="008F0269"/>
    <w:rsid w:val="008F0354"/>
    <w:rsid w:val="008F0B43"/>
    <w:rsid w:val="008F69D7"/>
    <w:rsid w:val="009039FF"/>
    <w:rsid w:val="00907425"/>
    <w:rsid w:val="00911FD5"/>
    <w:rsid w:val="00912B10"/>
    <w:rsid w:val="00912D83"/>
    <w:rsid w:val="00913BFC"/>
    <w:rsid w:val="00921DED"/>
    <w:rsid w:val="009224A6"/>
    <w:rsid w:val="00935701"/>
    <w:rsid w:val="00941B46"/>
    <w:rsid w:val="00957F7D"/>
    <w:rsid w:val="009650EE"/>
    <w:rsid w:val="00966563"/>
    <w:rsid w:val="00967D64"/>
    <w:rsid w:val="00970487"/>
    <w:rsid w:val="00974502"/>
    <w:rsid w:val="00975C88"/>
    <w:rsid w:val="009770F0"/>
    <w:rsid w:val="0098068F"/>
    <w:rsid w:val="00982890"/>
    <w:rsid w:val="00984B60"/>
    <w:rsid w:val="00990043"/>
    <w:rsid w:val="009945D7"/>
    <w:rsid w:val="00997712"/>
    <w:rsid w:val="009A013B"/>
    <w:rsid w:val="009A12B8"/>
    <w:rsid w:val="009B2D5C"/>
    <w:rsid w:val="009B3AE6"/>
    <w:rsid w:val="009B4177"/>
    <w:rsid w:val="009B5F52"/>
    <w:rsid w:val="009B77F8"/>
    <w:rsid w:val="009C6A46"/>
    <w:rsid w:val="009D03F9"/>
    <w:rsid w:val="009D310E"/>
    <w:rsid w:val="009D3F66"/>
    <w:rsid w:val="009E61B8"/>
    <w:rsid w:val="009E6435"/>
    <w:rsid w:val="009E6521"/>
    <w:rsid w:val="009E75FE"/>
    <w:rsid w:val="009F16BA"/>
    <w:rsid w:val="009F1E97"/>
    <w:rsid w:val="00A00F54"/>
    <w:rsid w:val="00A01889"/>
    <w:rsid w:val="00A021AD"/>
    <w:rsid w:val="00A052B4"/>
    <w:rsid w:val="00A0734D"/>
    <w:rsid w:val="00A11758"/>
    <w:rsid w:val="00A12FDA"/>
    <w:rsid w:val="00A14CD2"/>
    <w:rsid w:val="00A16068"/>
    <w:rsid w:val="00A17D8D"/>
    <w:rsid w:val="00A21B2D"/>
    <w:rsid w:val="00A24B5C"/>
    <w:rsid w:val="00A25501"/>
    <w:rsid w:val="00A257E3"/>
    <w:rsid w:val="00A31B8F"/>
    <w:rsid w:val="00A34816"/>
    <w:rsid w:val="00A41136"/>
    <w:rsid w:val="00A42105"/>
    <w:rsid w:val="00A43ED7"/>
    <w:rsid w:val="00A45AC4"/>
    <w:rsid w:val="00A50534"/>
    <w:rsid w:val="00A602DF"/>
    <w:rsid w:val="00A65C52"/>
    <w:rsid w:val="00A66896"/>
    <w:rsid w:val="00A72D1F"/>
    <w:rsid w:val="00A74005"/>
    <w:rsid w:val="00A7457B"/>
    <w:rsid w:val="00A82E5E"/>
    <w:rsid w:val="00A8791D"/>
    <w:rsid w:val="00A917AF"/>
    <w:rsid w:val="00A9257A"/>
    <w:rsid w:val="00A94606"/>
    <w:rsid w:val="00AA0AEB"/>
    <w:rsid w:val="00AA2976"/>
    <w:rsid w:val="00AA4A03"/>
    <w:rsid w:val="00AB3021"/>
    <w:rsid w:val="00AB5E42"/>
    <w:rsid w:val="00AB672D"/>
    <w:rsid w:val="00AC2B6D"/>
    <w:rsid w:val="00AC7D56"/>
    <w:rsid w:val="00AC7DED"/>
    <w:rsid w:val="00AD1706"/>
    <w:rsid w:val="00AD25AA"/>
    <w:rsid w:val="00AE0F81"/>
    <w:rsid w:val="00AE2EB9"/>
    <w:rsid w:val="00AE5070"/>
    <w:rsid w:val="00AF245F"/>
    <w:rsid w:val="00AF5B5F"/>
    <w:rsid w:val="00B02E20"/>
    <w:rsid w:val="00B031C5"/>
    <w:rsid w:val="00B031E6"/>
    <w:rsid w:val="00B03217"/>
    <w:rsid w:val="00B04017"/>
    <w:rsid w:val="00B0794C"/>
    <w:rsid w:val="00B13D95"/>
    <w:rsid w:val="00B17440"/>
    <w:rsid w:val="00B24BD3"/>
    <w:rsid w:val="00B27078"/>
    <w:rsid w:val="00B32DD6"/>
    <w:rsid w:val="00B45381"/>
    <w:rsid w:val="00B5145E"/>
    <w:rsid w:val="00B55882"/>
    <w:rsid w:val="00B57B62"/>
    <w:rsid w:val="00B617C5"/>
    <w:rsid w:val="00B61D85"/>
    <w:rsid w:val="00B63E27"/>
    <w:rsid w:val="00B675F4"/>
    <w:rsid w:val="00B70D59"/>
    <w:rsid w:val="00B7128C"/>
    <w:rsid w:val="00B71A70"/>
    <w:rsid w:val="00B72791"/>
    <w:rsid w:val="00B745E2"/>
    <w:rsid w:val="00B8220E"/>
    <w:rsid w:val="00B85B64"/>
    <w:rsid w:val="00B872E0"/>
    <w:rsid w:val="00B87375"/>
    <w:rsid w:val="00B907A8"/>
    <w:rsid w:val="00B930E2"/>
    <w:rsid w:val="00BA35AE"/>
    <w:rsid w:val="00BB07C0"/>
    <w:rsid w:val="00BB1392"/>
    <w:rsid w:val="00BB3FA6"/>
    <w:rsid w:val="00BC0F9D"/>
    <w:rsid w:val="00BC1258"/>
    <w:rsid w:val="00BC681F"/>
    <w:rsid w:val="00BD1675"/>
    <w:rsid w:val="00BD393F"/>
    <w:rsid w:val="00BD52A7"/>
    <w:rsid w:val="00BD6CCC"/>
    <w:rsid w:val="00BE0B48"/>
    <w:rsid w:val="00BE130C"/>
    <w:rsid w:val="00BE64CB"/>
    <w:rsid w:val="00BE6EB4"/>
    <w:rsid w:val="00BE79F9"/>
    <w:rsid w:val="00C0203D"/>
    <w:rsid w:val="00C02A10"/>
    <w:rsid w:val="00C068EB"/>
    <w:rsid w:val="00C10449"/>
    <w:rsid w:val="00C15E51"/>
    <w:rsid w:val="00C24BD6"/>
    <w:rsid w:val="00C25733"/>
    <w:rsid w:val="00C27C27"/>
    <w:rsid w:val="00C304C3"/>
    <w:rsid w:val="00C322A0"/>
    <w:rsid w:val="00C3293D"/>
    <w:rsid w:val="00C34677"/>
    <w:rsid w:val="00C357E3"/>
    <w:rsid w:val="00C44DE6"/>
    <w:rsid w:val="00C468F0"/>
    <w:rsid w:val="00C57323"/>
    <w:rsid w:val="00C57D6D"/>
    <w:rsid w:val="00C621F2"/>
    <w:rsid w:val="00C62F28"/>
    <w:rsid w:val="00C64CB9"/>
    <w:rsid w:val="00C66F7D"/>
    <w:rsid w:val="00C701E1"/>
    <w:rsid w:val="00C710CD"/>
    <w:rsid w:val="00C71355"/>
    <w:rsid w:val="00C74458"/>
    <w:rsid w:val="00C807CD"/>
    <w:rsid w:val="00C84271"/>
    <w:rsid w:val="00C900C2"/>
    <w:rsid w:val="00C91E6A"/>
    <w:rsid w:val="00C953F3"/>
    <w:rsid w:val="00C96DD5"/>
    <w:rsid w:val="00CA0614"/>
    <w:rsid w:val="00CA189F"/>
    <w:rsid w:val="00CA1B94"/>
    <w:rsid w:val="00CA500D"/>
    <w:rsid w:val="00CA5295"/>
    <w:rsid w:val="00CA6F6D"/>
    <w:rsid w:val="00CB1EBC"/>
    <w:rsid w:val="00CB4506"/>
    <w:rsid w:val="00CC018C"/>
    <w:rsid w:val="00CC292A"/>
    <w:rsid w:val="00CC2E3D"/>
    <w:rsid w:val="00CC638E"/>
    <w:rsid w:val="00CC7C28"/>
    <w:rsid w:val="00CD3C5A"/>
    <w:rsid w:val="00CD5154"/>
    <w:rsid w:val="00CE6F42"/>
    <w:rsid w:val="00CF076D"/>
    <w:rsid w:val="00CF08AC"/>
    <w:rsid w:val="00CF0EDC"/>
    <w:rsid w:val="00CF3D0C"/>
    <w:rsid w:val="00CF5782"/>
    <w:rsid w:val="00CF6801"/>
    <w:rsid w:val="00CF6EB4"/>
    <w:rsid w:val="00D00FB8"/>
    <w:rsid w:val="00D03DAE"/>
    <w:rsid w:val="00D046B0"/>
    <w:rsid w:val="00D13C51"/>
    <w:rsid w:val="00D144FF"/>
    <w:rsid w:val="00D211B8"/>
    <w:rsid w:val="00D21E7D"/>
    <w:rsid w:val="00D2265E"/>
    <w:rsid w:val="00D24E25"/>
    <w:rsid w:val="00D26D4E"/>
    <w:rsid w:val="00D40944"/>
    <w:rsid w:val="00D41C2A"/>
    <w:rsid w:val="00D423B2"/>
    <w:rsid w:val="00D42C75"/>
    <w:rsid w:val="00D4495E"/>
    <w:rsid w:val="00D47A71"/>
    <w:rsid w:val="00D51545"/>
    <w:rsid w:val="00D530FF"/>
    <w:rsid w:val="00D566E2"/>
    <w:rsid w:val="00D569F8"/>
    <w:rsid w:val="00D5747F"/>
    <w:rsid w:val="00D60CF0"/>
    <w:rsid w:val="00D70B30"/>
    <w:rsid w:val="00D72B86"/>
    <w:rsid w:val="00D72F10"/>
    <w:rsid w:val="00D76321"/>
    <w:rsid w:val="00D7652C"/>
    <w:rsid w:val="00D771E4"/>
    <w:rsid w:val="00D8174B"/>
    <w:rsid w:val="00D855D1"/>
    <w:rsid w:val="00D9211D"/>
    <w:rsid w:val="00D93F6E"/>
    <w:rsid w:val="00D962E8"/>
    <w:rsid w:val="00DA3645"/>
    <w:rsid w:val="00DA5911"/>
    <w:rsid w:val="00DB1B12"/>
    <w:rsid w:val="00DB2B05"/>
    <w:rsid w:val="00DB53A8"/>
    <w:rsid w:val="00DB5A09"/>
    <w:rsid w:val="00DB5C03"/>
    <w:rsid w:val="00DB6C6D"/>
    <w:rsid w:val="00DB7273"/>
    <w:rsid w:val="00DC0F45"/>
    <w:rsid w:val="00DC137F"/>
    <w:rsid w:val="00DC1761"/>
    <w:rsid w:val="00DC4EA6"/>
    <w:rsid w:val="00DC5519"/>
    <w:rsid w:val="00DD1342"/>
    <w:rsid w:val="00DD46E6"/>
    <w:rsid w:val="00DE188C"/>
    <w:rsid w:val="00DE1ECC"/>
    <w:rsid w:val="00DE2E34"/>
    <w:rsid w:val="00DE3C90"/>
    <w:rsid w:val="00DF0316"/>
    <w:rsid w:val="00DF1E16"/>
    <w:rsid w:val="00DF232E"/>
    <w:rsid w:val="00DF26F8"/>
    <w:rsid w:val="00DF33F7"/>
    <w:rsid w:val="00DF489B"/>
    <w:rsid w:val="00DF6D92"/>
    <w:rsid w:val="00E110CB"/>
    <w:rsid w:val="00E11B6E"/>
    <w:rsid w:val="00E121A0"/>
    <w:rsid w:val="00E12F31"/>
    <w:rsid w:val="00E15989"/>
    <w:rsid w:val="00E2045C"/>
    <w:rsid w:val="00E22998"/>
    <w:rsid w:val="00E253C4"/>
    <w:rsid w:val="00E25C35"/>
    <w:rsid w:val="00E34525"/>
    <w:rsid w:val="00E37AAF"/>
    <w:rsid w:val="00E43DE1"/>
    <w:rsid w:val="00E45003"/>
    <w:rsid w:val="00E50630"/>
    <w:rsid w:val="00E50B42"/>
    <w:rsid w:val="00E50BCF"/>
    <w:rsid w:val="00E51761"/>
    <w:rsid w:val="00E5253D"/>
    <w:rsid w:val="00E538D1"/>
    <w:rsid w:val="00E57445"/>
    <w:rsid w:val="00E64459"/>
    <w:rsid w:val="00E65F08"/>
    <w:rsid w:val="00E665E3"/>
    <w:rsid w:val="00E72F67"/>
    <w:rsid w:val="00E73B76"/>
    <w:rsid w:val="00E92193"/>
    <w:rsid w:val="00E93B96"/>
    <w:rsid w:val="00E94DB2"/>
    <w:rsid w:val="00EA19CD"/>
    <w:rsid w:val="00EA39C4"/>
    <w:rsid w:val="00EA4092"/>
    <w:rsid w:val="00EA4C6D"/>
    <w:rsid w:val="00EA7711"/>
    <w:rsid w:val="00EA7B79"/>
    <w:rsid w:val="00EB0055"/>
    <w:rsid w:val="00EB4B55"/>
    <w:rsid w:val="00EB6091"/>
    <w:rsid w:val="00EC0E80"/>
    <w:rsid w:val="00EC1517"/>
    <w:rsid w:val="00EC1E1E"/>
    <w:rsid w:val="00EC34B1"/>
    <w:rsid w:val="00EC3F77"/>
    <w:rsid w:val="00ED2566"/>
    <w:rsid w:val="00ED7FEE"/>
    <w:rsid w:val="00EE0A44"/>
    <w:rsid w:val="00EE0AD2"/>
    <w:rsid w:val="00EE270D"/>
    <w:rsid w:val="00EE4950"/>
    <w:rsid w:val="00EF0B43"/>
    <w:rsid w:val="00EF163C"/>
    <w:rsid w:val="00EF1961"/>
    <w:rsid w:val="00EF238A"/>
    <w:rsid w:val="00EF3839"/>
    <w:rsid w:val="00EF3A95"/>
    <w:rsid w:val="00F0286B"/>
    <w:rsid w:val="00F05131"/>
    <w:rsid w:val="00F06FED"/>
    <w:rsid w:val="00F079E9"/>
    <w:rsid w:val="00F1142D"/>
    <w:rsid w:val="00F1442A"/>
    <w:rsid w:val="00F243E2"/>
    <w:rsid w:val="00F26B05"/>
    <w:rsid w:val="00F31CC1"/>
    <w:rsid w:val="00F366FA"/>
    <w:rsid w:val="00F44B9B"/>
    <w:rsid w:val="00F47AAF"/>
    <w:rsid w:val="00F510C1"/>
    <w:rsid w:val="00F5408D"/>
    <w:rsid w:val="00F62CAF"/>
    <w:rsid w:val="00F6474C"/>
    <w:rsid w:val="00F648AF"/>
    <w:rsid w:val="00F71592"/>
    <w:rsid w:val="00F7349E"/>
    <w:rsid w:val="00F751CB"/>
    <w:rsid w:val="00F76C45"/>
    <w:rsid w:val="00F806DC"/>
    <w:rsid w:val="00F86BA6"/>
    <w:rsid w:val="00FA082A"/>
    <w:rsid w:val="00FA2FB3"/>
    <w:rsid w:val="00FA3A10"/>
    <w:rsid w:val="00FA42A6"/>
    <w:rsid w:val="00FA51B8"/>
    <w:rsid w:val="00FA58D8"/>
    <w:rsid w:val="00FA63D6"/>
    <w:rsid w:val="00FA7699"/>
    <w:rsid w:val="00FB4BAE"/>
    <w:rsid w:val="00FB5578"/>
    <w:rsid w:val="00FB772E"/>
    <w:rsid w:val="00FC283A"/>
    <w:rsid w:val="00FC29C6"/>
    <w:rsid w:val="00FC4BFF"/>
    <w:rsid w:val="00FC51AF"/>
    <w:rsid w:val="00FD0F66"/>
    <w:rsid w:val="00FD2F6E"/>
    <w:rsid w:val="00FD39C7"/>
    <w:rsid w:val="00FE1010"/>
    <w:rsid w:val="00FE2A08"/>
    <w:rsid w:val="00FE2C93"/>
    <w:rsid w:val="00FE2D86"/>
    <w:rsid w:val="00FE699A"/>
    <w:rsid w:val="00FF0D56"/>
    <w:rsid w:val="00FF0ED5"/>
    <w:rsid w:val="00FF19AD"/>
    <w:rsid w:val="00FF2FBD"/>
    <w:rsid w:val="00FF58CE"/>
    <w:rsid w:val="00FF59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14EC63E-A263-4B85-A891-BC60F9339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7652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Заголовок №2_"/>
    <w:link w:val="20"/>
    <w:uiPriority w:val="99"/>
    <w:locked/>
    <w:rsid w:val="00073ED4"/>
    <w:rPr>
      <w:b/>
      <w:bCs/>
      <w:sz w:val="26"/>
      <w:szCs w:val="26"/>
      <w:shd w:val="clear" w:color="auto" w:fill="FFFFFF"/>
    </w:rPr>
  </w:style>
  <w:style w:type="paragraph" w:customStyle="1" w:styleId="20">
    <w:name w:val="Заголовок №2"/>
    <w:basedOn w:val="a"/>
    <w:link w:val="2"/>
    <w:uiPriority w:val="99"/>
    <w:rsid w:val="00073ED4"/>
    <w:pPr>
      <w:shd w:val="clear" w:color="auto" w:fill="FFFFFF"/>
      <w:spacing w:before="300" w:after="300" w:line="322" w:lineRule="exact"/>
      <w:jc w:val="center"/>
      <w:outlineLvl w:val="1"/>
    </w:pPr>
    <w:rPr>
      <w:b/>
      <w:bCs/>
      <w:sz w:val="26"/>
      <w:szCs w:val="26"/>
    </w:rPr>
  </w:style>
  <w:style w:type="table" w:styleId="a3">
    <w:name w:val="Table Grid"/>
    <w:basedOn w:val="a1"/>
    <w:uiPriority w:val="39"/>
    <w:rsid w:val="003967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rsid w:val="00636430"/>
    <w:pPr>
      <w:widowControl w:val="0"/>
      <w:autoSpaceDE w:val="0"/>
      <w:autoSpaceDN w:val="0"/>
      <w:spacing w:after="0" w:line="240" w:lineRule="auto"/>
    </w:pPr>
    <w:rPr>
      <w:rFonts w:ascii="Calibri" w:eastAsia="Times New Roman" w:hAnsi="Calibri" w:cs="Calibri"/>
      <w:szCs w:val="20"/>
      <w:lang w:eastAsia="ru-RU"/>
    </w:rPr>
  </w:style>
  <w:style w:type="paragraph" w:styleId="a4">
    <w:name w:val="List Paragraph"/>
    <w:basedOn w:val="a"/>
    <w:uiPriority w:val="34"/>
    <w:qFormat/>
    <w:rsid w:val="001D490F"/>
    <w:pPr>
      <w:ind w:left="720"/>
      <w:contextualSpacing/>
    </w:pPr>
  </w:style>
  <w:style w:type="paragraph" w:customStyle="1" w:styleId="ConsPlusTitle">
    <w:name w:val="ConsPlusTitle"/>
    <w:uiPriority w:val="99"/>
    <w:rsid w:val="00F6474C"/>
    <w:pPr>
      <w:widowControl w:val="0"/>
      <w:autoSpaceDE w:val="0"/>
      <w:autoSpaceDN w:val="0"/>
      <w:spacing w:after="0" w:line="240" w:lineRule="auto"/>
    </w:pPr>
    <w:rPr>
      <w:rFonts w:ascii="Calibri" w:eastAsia="Times New Roman" w:hAnsi="Calibri" w:cs="Calibri"/>
      <w:b/>
      <w:szCs w:val="20"/>
      <w:lang w:eastAsia="ru-RU"/>
    </w:rPr>
  </w:style>
  <w:style w:type="paragraph" w:styleId="a5">
    <w:name w:val="header"/>
    <w:basedOn w:val="a"/>
    <w:link w:val="a6"/>
    <w:uiPriority w:val="99"/>
    <w:unhideWhenUsed/>
    <w:rsid w:val="00EC1517"/>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C1517"/>
  </w:style>
  <w:style w:type="paragraph" w:styleId="a7">
    <w:name w:val="footer"/>
    <w:basedOn w:val="a"/>
    <w:link w:val="a8"/>
    <w:uiPriority w:val="99"/>
    <w:unhideWhenUsed/>
    <w:rsid w:val="00EF0B4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F0B43"/>
  </w:style>
  <w:style w:type="paragraph" w:customStyle="1" w:styleId="1">
    <w:name w:val="Без интервала1"/>
    <w:uiPriority w:val="1"/>
    <w:qFormat/>
    <w:rsid w:val="00EF3839"/>
    <w:pPr>
      <w:spacing w:after="0" w:line="240" w:lineRule="auto"/>
    </w:pPr>
    <w:rPr>
      <w:rFonts w:ascii="Calibri" w:eastAsia="Times New Roman" w:hAnsi="Calibri" w:cs="Times New Roman"/>
      <w:lang w:val="en-GB"/>
    </w:rPr>
  </w:style>
  <w:style w:type="character" w:styleId="a9">
    <w:name w:val="Hyperlink"/>
    <w:basedOn w:val="a0"/>
    <w:uiPriority w:val="99"/>
    <w:unhideWhenUsed/>
    <w:rsid w:val="004929C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fontTable" Target="fontTable.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99.png"/><Relationship Id="rId16" Type="http://schemas.openxmlformats.org/officeDocument/2006/relationships/image" Target="media/image9.png"/><Relationship Id="rId107" Type="http://schemas.openxmlformats.org/officeDocument/2006/relationships/image" Target="media/image94.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footnotes" Target="footnote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59.png"/><Relationship Id="rId113" Type="http://schemas.openxmlformats.org/officeDocument/2006/relationships/image" Target="media/image100.png"/><Relationship Id="rId118" Type="http://schemas.openxmlformats.org/officeDocument/2006/relationships/theme" Target="theme/theme1.xm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5.wmf"/><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3.png"/><Relationship Id="rId108" Type="http://schemas.openxmlformats.org/officeDocument/2006/relationships/image" Target="media/image95.png"/><Relationship Id="rId54" Type="http://schemas.openxmlformats.org/officeDocument/2006/relationships/image" Target="media/image47.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1.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hyperlink" Target="https://ru.wikipedia.org/wiki/%D0%95%D0%BB%D0%B0%D0%B1%D1%83%D0%B6%D1%81%D0%BA%D0%B8%D0%B9_%D1%80%D0%B0%D0%B9%D0%BE%D0%BD" TargetMode="External"/><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96.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hyperlink" Target="https://ru.wikipedia.org/wiki/%D0%95%D0%BB%D0%B0%D0%B1%D1%83%D0%B6%D1%81%D0%BA%D0%B8%D0%B9_%D1%80%D0%B0%D0%B9%D0%BE%D0%BD" TargetMode="External"/><Relationship Id="rId7" Type="http://schemas.openxmlformats.org/officeDocument/2006/relationships/hyperlink" Target="consultantplus://offline/ref=CF58782D5873597174AB71F3B0D3AE717B6AA1F7254C7160C59A4E48D299FDD045C7DFD47490E110645D664701CF17EDA56488BCE4FF81BA2BB09EpCt3H" TargetMode="External"/><Relationship Id="rId71" Type="http://schemas.openxmlformats.org/officeDocument/2006/relationships/image" Target="media/image61.jpeg"/><Relationship Id="rId92" Type="http://schemas.openxmlformats.org/officeDocument/2006/relationships/image" Target="media/image82.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hyperlink" Target="https://ru.wikipedia.org/wiki/%D0%A2%D0%B0%D1%82%D0%B0%D1%80%D1%81%D1%82%D0%B0%D0%BD" TargetMode="External"/><Relationship Id="rId87" Type="http://schemas.openxmlformats.org/officeDocument/2006/relationships/image" Target="media/image77.png"/><Relationship Id="rId110" Type="http://schemas.openxmlformats.org/officeDocument/2006/relationships/image" Target="media/image97.png"/><Relationship Id="rId115" Type="http://schemas.openxmlformats.org/officeDocument/2006/relationships/image" Target="media/image102.png"/><Relationship Id="rId61" Type="http://schemas.openxmlformats.org/officeDocument/2006/relationships/image" Target="media/image54.png"/><Relationship Id="rId82" Type="http://schemas.openxmlformats.org/officeDocument/2006/relationships/image" Target="media/image72.png"/><Relationship Id="rId19" Type="http://schemas.openxmlformats.org/officeDocument/2006/relationships/image" Target="media/image12.png"/><Relationship Id="rId14" Type="http://schemas.openxmlformats.org/officeDocument/2006/relationships/image" Target="media/image7.wmf"/><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hyperlink" Target="https://ru.wikipedia.org/wiki/%D0%A2%D0%B0%D1%82%D0%B0%D1%80%D1%81%D1%82%D0%B0%D0%BD" TargetMode="Externa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hyperlink" Target="consultantplus://offline/ref=79010E8DC17670A9788E056E149B266BC0BDBCC16B0EBAB9E265DF253E57527CD9CDB36CF6DCF173FF7D26A705n0z2K" TargetMode="External"/><Relationship Id="rId116"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98.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hyperlink" Target="consultantplus://offline/ref=79010E8DC17670A9788E056E149B266BC0BDBCC16B0EBAB9E265DF253E57527CD9CDB36CF6DCF173FF7D26A705n0z2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30</Pages>
  <Words>68615</Words>
  <Characters>391106</Characters>
  <Application>Microsoft Office Word</Application>
  <DocSecurity>0</DocSecurity>
  <Lines>3259</Lines>
  <Paragraphs>917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458804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Фатыхова Алина Ринатовна</dc:creator>
  <cp:keywords/>
  <dc:description/>
  <cp:lastModifiedBy>pomosh4</cp:lastModifiedBy>
  <cp:revision>2</cp:revision>
  <dcterms:created xsi:type="dcterms:W3CDTF">2019-07-09T16:40:00Z</dcterms:created>
  <dcterms:modified xsi:type="dcterms:W3CDTF">2019-07-09T16:40:00Z</dcterms:modified>
</cp:coreProperties>
</file>